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000"/>
        <w:jc w:val="center"/>
      </w:pPr>
      <w:r>
        <w:rPr>
          <w:rFonts w:ascii="Inter" w:cs="Inter" w:eastAsia="Inter" w:hAnsi="Inter"/>
          <w:b/>
          <w:bCs/>
          <w:color w:val="D97706"/>
          <w:sz w:val="22"/>
          <w:szCs w:val="22"/>
        </w:rPr>
        <w:t xml:space="preserve">ARCUS, INC.</w:t>
      </w:r>
    </w:p>
    <w:p>
      <w:pPr>
        <w:spacing w:after="120"/>
        <w:jc w:val="center"/>
      </w:pPr>
      <w:r>
        <w:rPr>
          <w:rFonts w:ascii="Inter" w:cs="Inter" w:eastAsia="Inter" w:hAnsi="Inter"/>
          <w:b/>
          <w:bCs/>
          <w:color w:val="1E2761"/>
          <w:sz w:val="40"/>
          <w:szCs w:val="40"/>
        </w:rPr>
        <w:t xml:space="preserve">MASTER SUBSCRIPTION AGREEMENT</w:t>
      </w:r>
    </w:p>
    <w:p>
      <w:pPr>
        <w:spacing w:after="240"/>
        <w:jc w:val="center"/>
      </w:pPr>
      <w:r>
        <w:rPr>
          <w:rFonts w:ascii="Inter" w:cs="Inter" w:eastAsia="Inter" w:hAnsi="Inter"/>
          <w:i/>
          <w:iCs/>
          <w:color w:val="0F172A"/>
          <w:sz w:val="24"/>
          <w:szCs w:val="24"/>
        </w:rPr>
        <w:t xml:space="preserve">Form Agreement — Enterprise Customers</w:t>
      </w:r>
    </w:p>
    <w:p>
      <w:pPr>
        <w:spacing w:after="100"/>
        <w:jc w:val="center"/>
      </w:pPr>
      <w:r>
        <w:rPr>
          <w:rFonts w:ascii="Inter" w:cs="Inter" w:eastAsia="Inter" w:hAnsi="Inter"/>
          <w:i/>
          <w:iCs/>
          <w:color w:val="6B7280"/>
          <w:sz w:val="17"/>
          <w:szCs w:val="17"/>
        </w:rPr>
        <w:t xml:space="preserve">Sample version as executed with Meridian Global Logistics, Inc. on September 15, 2021 and reaffirmed at renewal on June 28, 2024. Customer-specific commercial terms and pricing have been redacted. Provided for investor due diligence; this document is not for further distribution.</w:t>
      </w:r>
    </w:p>
    <w:p>
      <w:pPr>
        <w:spacing w:after="120"/>
      </w:pPr>
      <w:r>
        <w:t xml:space="preserve"/>
      </w:r>
    </w:p>
    <w:p>
      <w:pPr>
        <w:spacing w:before="1600"/>
        <w:jc w:val="center"/>
      </w:pPr>
      <w:r>
        <w:rPr>
          <w:rFonts w:ascii="Inter" w:cs="Inter" w:eastAsia="Inter" w:hAnsi="Inter"/>
          <w:color w:val="6B7280"/>
          <w:sz w:val="18"/>
          <w:szCs w:val="18"/>
        </w:rPr>
        <w:t xml:space="preserve">Reviewed by: Wilson Sonsini Goodrich &amp; Rosati, Professional Corporation</w:t>
      </w:r>
    </w:p>
    <w:p>
      <w:pPr>
        <w:spacing w:after="80"/>
        <w:jc w:val="center"/>
      </w:pPr>
      <w:r>
        <w:rPr>
          <w:rFonts w:ascii="Inter" w:cs="Inter" w:eastAsia="Inter" w:hAnsi="Inter"/>
          <w:color w:val="6B7280"/>
          <w:sz w:val="18"/>
          <w:szCs w:val="18"/>
        </w:rPr>
        <w:t xml:space="preserve">Internal owner: Maria Alvarez, General Counsel</w:t>
      </w:r>
    </w:p>
    <w:p>
      <w:r>
        <w:br w:type="page"/>
      </w:r>
    </w:p>
    <w:p>
      <w:pPr>
        <w:pStyle w:val="Heading1"/>
        <w:spacing w:after="120" w:before="320"/>
      </w:pPr>
      <w:r>
        <w:rPr>
          <w:rFonts w:ascii="Inter" w:cs="Inter" w:eastAsia="Inter" w:hAnsi="Inter"/>
          <w:b/>
          <w:bCs/>
          <w:color w:val="1E2761"/>
          <w:sz w:val="28"/>
          <w:szCs w:val="28"/>
        </w:rPr>
        <w:t xml:space="preserve">Master Subscription Agreement</w:t>
      </w:r>
    </w:p>
    <w:p>
      <w:pPr>
        <w:spacing w:after="120" w:line="300"/>
        <w:jc w:val="both"/>
      </w:pPr>
      <w:r>
        <w:rPr>
          <w:rFonts w:ascii="Inter" w:cs="Inter" w:eastAsia="Inter" w:hAnsi="Inter"/>
          <w:color w:val="0F172A"/>
          <w:sz w:val="20"/>
          <w:szCs w:val="20"/>
        </w:rPr>
        <w:t xml:space="preserve">This Master Subscription Agreement (this "Agreement") is entered into as of September 15, 2021 (the "Effective Date"), by and between Arcus, Inc., a Delaware corporation, with its principal place of business at 45 West 27th Street, New York, NY 10001 ("Arcus"), and Meridian Global Logistics, Inc., a Delaware corporation, with its principal place of business at [REDACTED] ("Customer"). Arcus and Customer may be referred to individually as a "Party" and collectively as the "Parties."</w:t>
      </w:r>
    </w:p>
    <w:p>
      <w:pPr>
        <w:spacing w:after="120" w:line="300"/>
        <w:jc w:val="both"/>
      </w:pPr>
      <w:r>
        <w:rPr>
          <w:rFonts w:ascii="Inter" w:cs="Inter" w:eastAsia="Inter" w:hAnsi="Inter"/>
          <w:color w:val="0F172A"/>
          <w:sz w:val="20"/>
          <w:szCs w:val="20"/>
        </w:rPr>
        <w:t xml:space="preserve">Customer desires to subscribe to the Arcus cloud-based supply chain software platform and associated services, and Arcus desires to provide such access and services, each on the terms and conditions set forth below. In consideration of the mutual promises set forth herein, the Parties agree as follows:</w:t>
      </w:r>
    </w:p>
    <w:p>
      <w:pPr>
        <w:pStyle w:val="Heading2"/>
        <w:spacing w:after="100" w:before="240"/>
      </w:pPr>
      <w:r>
        <w:rPr>
          <w:rFonts w:ascii="Inter" w:cs="Inter" w:eastAsia="Inter" w:hAnsi="Inter"/>
          <w:b/>
          <w:bCs/>
          <w:color w:val="1E2761"/>
          <w:sz w:val="22"/>
          <w:szCs w:val="22"/>
        </w:rPr>
        <w:t xml:space="preserve">1. DEFINITIONS</w:t>
      </w:r>
    </w:p>
    <w:p>
      <w:pPr>
        <w:spacing w:after="120" w:line="300"/>
        <w:jc w:val="both"/>
      </w:pPr>
      <w:r>
        <w:rPr>
          <w:rFonts w:ascii="Inter" w:cs="Inter" w:eastAsia="Inter" w:hAnsi="Inter"/>
          <w:color w:val="0F172A"/>
          <w:sz w:val="20"/>
          <w:szCs w:val="20"/>
        </w:rPr>
        <w:t xml:space="preserve">"Affiliate" means any entity that directly or indirectly controls, is controlled by, or is under common control with the subject entity. "Control" means direct or indirect ownership or control of more than fifty percent (50%) of the voting interests of the subject entity.</w:t>
      </w:r>
    </w:p>
    <w:p>
      <w:pPr>
        <w:spacing w:after="120" w:line="300"/>
        <w:jc w:val="both"/>
      </w:pPr>
      <w:r>
        <w:rPr>
          <w:rFonts w:ascii="Inter" w:cs="Inter" w:eastAsia="Inter" w:hAnsi="Inter"/>
          <w:color w:val="0F172A"/>
          <w:sz w:val="20"/>
          <w:szCs w:val="20"/>
        </w:rPr>
        <w:t xml:space="preserve">"Customer Data" means any data, content, information, or materials submitted by or on behalf of Customer to the Services, including data from connected third-party systems.</w:t>
      </w:r>
    </w:p>
    <w:p>
      <w:pPr>
        <w:spacing w:after="120" w:line="300"/>
        <w:jc w:val="both"/>
      </w:pPr>
      <w:r>
        <w:rPr>
          <w:rFonts w:ascii="Inter" w:cs="Inter" w:eastAsia="Inter" w:hAnsi="Inter"/>
          <w:color w:val="0F172A"/>
          <w:sz w:val="20"/>
          <w:szCs w:val="20"/>
        </w:rPr>
        <w:t xml:space="preserve">"Documentation" means the user guides, online help, release notes, training materials, and other documentation for the Services made available by Arcus at https://docs.arcus.io (or a successor URL).</w:t>
      </w:r>
    </w:p>
    <w:p>
      <w:pPr>
        <w:spacing w:after="120" w:line="300"/>
        <w:jc w:val="both"/>
      </w:pPr>
      <w:r>
        <w:rPr>
          <w:rFonts w:ascii="Inter" w:cs="Inter" w:eastAsia="Inter" w:hAnsi="Inter"/>
          <w:color w:val="0F172A"/>
          <w:sz w:val="20"/>
          <w:szCs w:val="20"/>
        </w:rPr>
        <w:t xml:space="preserve">"Order Form" means an ordering document or online order specifying the Services to be provided hereunder that is entered into between Customer and Arcus (or any of its Affiliates), including any addenda and supplements thereto.</w:t>
      </w:r>
    </w:p>
    <w:p>
      <w:pPr>
        <w:spacing w:after="120" w:line="300"/>
        <w:jc w:val="both"/>
      </w:pPr>
      <w:r>
        <w:rPr>
          <w:rFonts w:ascii="Inter" w:cs="Inter" w:eastAsia="Inter" w:hAnsi="Inter"/>
          <w:color w:val="0F172A"/>
          <w:sz w:val="20"/>
          <w:szCs w:val="20"/>
        </w:rPr>
        <w:t xml:space="preserve">"Services" means the Arcus software-as-a-service offerings, including the Arcus Visibility, Arcus Signal, and Arcus Autopilot modules, as well as any associated professional services, in each case as specified on an Order Form.</w:t>
      </w:r>
    </w:p>
    <w:p>
      <w:pPr>
        <w:spacing w:after="120" w:line="300"/>
        <w:jc w:val="both"/>
      </w:pPr>
      <w:r>
        <w:rPr>
          <w:rFonts w:ascii="Inter" w:cs="Inter" w:eastAsia="Inter" w:hAnsi="Inter"/>
          <w:color w:val="0F172A"/>
          <w:sz w:val="20"/>
          <w:szCs w:val="20"/>
        </w:rPr>
        <w:t xml:space="preserve">"Subscription Term" means the subscription term for the Services as specified in the applicable Order Form.</w:t>
      </w:r>
    </w:p>
    <w:p>
      <w:pPr>
        <w:pStyle w:val="Heading2"/>
        <w:spacing w:after="100" w:before="240"/>
      </w:pPr>
      <w:r>
        <w:rPr>
          <w:rFonts w:ascii="Inter" w:cs="Inter" w:eastAsia="Inter" w:hAnsi="Inter"/>
          <w:b/>
          <w:bCs/>
          <w:color w:val="1E2761"/>
          <w:sz w:val="22"/>
          <w:szCs w:val="22"/>
        </w:rPr>
        <w:t xml:space="preserve">2. SERVICES</w:t>
      </w:r>
    </w:p>
    <w:p>
      <w:pPr>
        <w:spacing w:after="120" w:line="300"/>
        <w:jc w:val="both"/>
      </w:pPr>
      <w:r>
        <w:rPr>
          <w:rFonts w:ascii="Inter" w:cs="Inter" w:eastAsia="Inter" w:hAnsi="Inter"/>
          <w:color w:val="0F172A"/>
          <w:sz w:val="20"/>
          <w:szCs w:val="20"/>
        </w:rPr>
        <w:t xml:space="preserve">2.1  Provision of Services. Subject to the terms and conditions of this Agreement and the applicable Order Form, Arcus grants Customer a limited, non-exclusive, non-transferable, non-sublicensable right during the Subscription Term to access and use the Services solely for Customer's internal business operations. Customer's access is limited to the number of users, volume limits, and other usage parameters set forth in the applicable Order Form.</w:t>
      </w:r>
    </w:p>
    <w:p>
      <w:pPr>
        <w:spacing w:after="120" w:line="300"/>
        <w:jc w:val="both"/>
      </w:pPr>
      <w:r>
        <w:rPr>
          <w:rFonts w:ascii="Inter" w:cs="Inter" w:eastAsia="Inter" w:hAnsi="Inter"/>
          <w:color w:val="0F172A"/>
          <w:sz w:val="20"/>
          <w:szCs w:val="20"/>
        </w:rPr>
        <w:t xml:space="preserve">2.2  Service Levels. Arcus will use commercially reasonable efforts to make the Services available twenty-four (24) hours per day, seven (7) days per week, subject to scheduled maintenance, emergency maintenance, force majeure events, and service-affecting changes by third-party integration providers. Arcus commits to a monthly uptime service level of 99.9% as measured at the Arcus application layer, with service credits available for any calendar month in which the Services fall below the committed uptime. The full Service Level Agreement is attached as Exhibit B.</w:t>
      </w:r>
    </w:p>
    <w:p>
      <w:pPr>
        <w:spacing w:after="120" w:line="300"/>
        <w:jc w:val="both"/>
      </w:pPr>
      <w:r>
        <w:rPr>
          <w:rFonts w:ascii="Inter" w:cs="Inter" w:eastAsia="Inter" w:hAnsi="Inter"/>
          <w:color w:val="0F172A"/>
          <w:sz w:val="20"/>
          <w:szCs w:val="20"/>
        </w:rPr>
        <w:t xml:space="preserve">2.3  Data Ingestion and Connectors. The Services are designed to ingest data from Customer's enterprise systems, carrier systems, and supplier systems via Arcus's prebuilt connectors or via custom integrations. Customer shall be responsible for maintaining its own credentials and for providing Arcus with timely notice of any changes to connected systems that would impact the integration. Arcus shall be responsible for the ongoing maintenance of prebuilt connectors and for commercially reasonable efforts to accommodate reasonable changes to Customer's connected environments.</w:t>
      </w:r>
    </w:p>
    <w:p>
      <w:pPr>
        <w:spacing w:after="120" w:line="300"/>
        <w:jc w:val="both"/>
      </w:pPr>
      <w:r>
        <w:rPr>
          <w:rFonts w:ascii="Inter" w:cs="Inter" w:eastAsia="Inter" w:hAnsi="Inter"/>
          <w:color w:val="0F172A"/>
          <w:sz w:val="20"/>
          <w:szCs w:val="20"/>
        </w:rPr>
        <w:t xml:space="preserve">2.4  Support. Arcus will provide Customer with technical support during Arcus's standard business hours via email and the Arcus customer success portal. For Enterprise+ customers, Arcus will provide 24x7 incident response for Severity 1 issues and named customer success manager support. Support terms are set forth in Exhibit C.</w:t>
      </w:r>
    </w:p>
    <w:p>
      <w:pPr>
        <w:pStyle w:val="Heading2"/>
        <w:spacing w:after="100" w:before="240"/>
      </w:pPr>
      <w:r>
        <w:rPr>
          <w:rFonts w:ascii="Inter" w:cs="Inter" w:eastAsia="Inter" w:hAnsi="Inter"/>
          <w:b/>
          <w:bCs/>
          <w:color w:val="1E2761"/>
          <w:sz w:val="22"/>
          <w:szCs w:val="22"/>
        </w:rPr>
        <w:t xml:space="preserve">3. CUSTOMER OBLIGATIONS</w:t>
      </w:r>
    </w:p>
    <w:p>
      <w:pPr>
        <w:spacing w:after="120" w:line="300"/>
        <w:jc w:val="both"/>
      </w:pPr>
      <w:r>
        <w:rPr>
          <w:rFonts w:ascii="Inter" w:cs="Inter" w:eastAsia="Inter" w:hAnsi="Inter"/>
          <w:color w:val="0F172A"/>
          <w:sz w:val="20"/>
          <w:szCs w:val="20"/>
        </w:rPr>
        <w:t xml:space="preserve">3.1  Acceptable Use. Customer agrees not to: (a) license, sublicense, sell, resell, transfer, assign, distribute, or otherwise commercially exploit the Services or the Documentation; (b) modify, adapt, or create derivative works of the Services; (c) reverse engineer, decompile, or disassemble any portion of the Services except to the limited extent permitted by applicable law; (d) use the Services to access competitive products or to build a competitive product or service; (e) use the Services to send spam or unsolicited communications; or (f) interfere with or disrupt the integrity or performance of the Services.</w:t>
      </w:r>
    </w:p>
    <w:p>
      <w:pPr>
        <w:spacing w:after="120" w:line="300"/>
        <w:jc w:val="both"/>
      </w:pPr>
      <w:r>
        <w:rPr>
          <w:rFonts w:ascii="Inter" w:cs="Inter" w:eastAsia="Inter" w:hAnsi="Inter"/>
          <w:color w:val="0F172A"/>
          <w:sz w:val="20"/>
          <w:szCs w:val="20"/>
        </w:rPr>
        <w:t xml:space="preserve">3.2  Customer Responsibilities. Customer shall: (a) be responsible for Users' compliance with this Agreement; (b) be solely responsible for the accuracy, quality, integrity, and legality of Customer Data and the means by which Customer acquired Customer Data; (c) use commercially reasonable efforts to prevent unauthorized access to or use of the Services, and notify Arcus promptly of any such unauthorized access or use; and (d) use the Services only in accordance with this Agreement, applicable laws and government regulations, and the Documentation.</w:t>
      </w:r>
    </w:p>
    <w:p>
      <w:pPr>
        <w:pStyle w:val="Heading2"/>
        <w:spacing w:after="100" w:before="240"/>
      </w:pPr>
      <w:r>
        <w:rPr>
          <w:rFonts w:ascii="Inter" w:cs="Inter" w:eastAsia="Inter" w:hAnsi="Inter"/>
          <w:b/>
          <w:bCs/>
          <w:color w:val="1E2761"/>
          <w:sz w:val="22"/>
          <w:szCs w:val="22"/>
        </w:rPr>
        <w:t xml:space="preserve">4. FEES AND PAYMENT</w:t>
      </w:r>
    </w:p>
    <w:p>
      <w:pPr>
        <w:spacing w:after="120" w:line="300"/>
        <w:jc w:val="both"/>
      </w:pPr>
      <w:r>
        <w:rPr>
          <w:rFonts w:ascii="Inter" w:cs="Inter" w:eastAsia="Inter" w:hAnsi="Inter"/>
          <w:color w:val="0F172A"/>
          <w:sz w:val="20"/>
          <w:szCs w:val="20"/>
        </w:rPr>
        <w:t xml:space="preserve">4.1  Fees. Customer shall pay all fees specified in the applicable Order Form. Except as otherwise specified herein or in an Order Form: (a) fees are based on Services subscriptions purchased and not actual usage; (b) payment obligations are non-cancelable and fees paid are non-refundable; and (c) the number of subscriptions purchased cannot be decreased during the relevant Subscription Term.</w:t>
      </w:r>
    </w:p>
    <w:p>
      <w:pPr>
        <w:spacing w:after="120" w:line="300"/>
        <w:jc w:val="both"/>
      </w:pPr>
      <w:r>
        <w:rPr>
          <w:rFonts w:ascii="Inter" w:cs="Inter" w:eastAsia="Inter" w:hAnsi="Inter"/>
          <w:color w:val="0F172A"/>
          <w:sz w:val="20"/>
          <w:szCs w:val="20"/>
        </w:rPr>
        <w:t xml:space="preserve">4.2  Invoicing and Payment. Arcus will invoice Customer annually in advance unless otherwise specified in an Order Form. All payments are due within thirty (30) days of the invoice date. Customer is responsible for providing complete and accurate billing and contact information to Arcus and notifying Arcus of any changes to such information. Any amount not received by Arcus by the due date may accrue, at Arcus's discretion, late charges at the rate of 1.0% of the outstanding balance per month, or the maximum rate permitted by law, whichever is lower, from the date such payment was due until the date paid.</w:t>
      </w:r>
    </w:p>
    <w:p>
      <w:pPr>
        <w:spacing w:after="120" w:line="300"/>
        <w:jc w:val="both"/>
      </w:pPr>
      <w:r>
        <w:rPr>
          <w:rFonts w:ascii="Inter" w:cs="Inter" w:eastAsia="Inter" w:hAnsi="Inter"/>
          <w:color w:val="0F172A"/>
          <w:sz w:val="20"/>
          <w:szCs w:val="20"/>
        </w:rPr>
        <w:t xml:space="preserve">4.3  Taxes. All fees are exclusive of all taxes, levies, or duties imposed by taxing authorities, and Customer shall be responsible for payment of all such taxes, levies, or duties (excluding taxes based solely on Arcus's net income).</w:t>
      </w:r>
    </w:p>
    <w:p>
      <w:pPr>
        <w:spacing w:after="120" w:line="300"/>
        <w:jc w:val="both"/>
      </w:pPr>
      <w:r>
        <w:rPr>
          <w:rFonts w:ascii="Inter" w:cs="Inter" w:eastAsia="Inter" w:hAnsi="Inter"/>
          <w:color w:val="0F172A"/>
          <w:sz w:val="20"/>
          <w:szCs w:val="20"/>
        </w:rPr>
        <w:t xml:space="preserve">4.4  Annual Escalator. Unless otherwise specified in an Order Form, fees for any renewal term will increase at the rate of the lesser of the Consumer Price Index (CPI) change during the prior term or five percent (5%) per year.</w:t>
      </w:r>
    </w:p>
    <w:p>
      <w:pPr>
        <w:pStyle w:val="Heading2"/>
        <w:spacing w:after="100" w:before="240"/>
      </w:pPr>
      <w:r>
        <w:rPr>
          <w:rFonts w:ascii="Inter" w:cs="Inter" w:eastAsia="Inter" w:hAnsi="Inter"/>
          <w:b/>
          <w:bCs/>
          <w:color w:val="1E2761"/>
          <w:sz w:val="22"/>
          <w:szCs w:val="22"/>
        </w:rPr>
        <w:t xml:space="preserve">5. PROPRIETARY RIGHTS</w:t>
      </w:r>
    </w:p>
    <w:p>
      <w:pPr>
        <w:spacing w:after="120" w:line="300"/>
        <w:jc w:val="both"/>
      </w:pPr>
      <w:r>
        <w:rPr>
          <w:rFonts w:ascii="Inter" w:cs="Inter" w:eastAsia="Inter" w:hAnsi="Inter"/>
          <w:color w:val="0F172A"/>
          <w:sz w:val="20"/>
          <w:szCs w:val="20"/>
        </w:rPr>
        <w:t xml:space="preserve">5.1  Arcus IP. Arcus owns and retains all right, title, and interest in and to the Services, the Documentation, and all improvements, enhancements, or modifications thereto. Except for the limited access rights expressly granted to Customer in this Agreement, no rights are granted to Customer under this Agreement.</w:t>
      </w:r>
    </w:p>
    <w:p>
      <w:pPr>
        <w:spacing w:after="120" w:line="300"/>
        <w:jc w:val="both"/>
      </w:pPr>
      <w:r>
        <w:rPr>
          <w:rFonts w:ascii="Inter" w:cs="Inter" w:eastAsia="Inter" w:hAnsi="Inter"/>
          <w:color w:val="0F172A"/>
          <w:sz w:val="20"/>
          <w:szCs w:val="20"/>
        </w:rPr>
        <w:t xml:space="preserve">5.2  Customer Data. As between the Parties, Customer retains all right, title, and interest in and to Customer Data. Customer grants Arcus a worldwide, limited-term license to host, copy, transmit, and display Customer Data solely as necessary for Arcus to provide the Services in accordance with this Agreement. Arcus may also use Customer Data in aggregated and anonymized form to improve the Services and for internal analytics, provided that the aggregated data cannot be reverse-engineered to identify Customer or any individual.</w:t>
      </w:r>
    </w:p>
    <w:p>
      <w:pPr>
        <w:spacing w:after="120" w:line="300"/>
        <w:jc w:val="both"/>
      </w:pPr>
      <w:r>
        <w:rPr>
          <w:rFonts w:ascii="Inter" w:cs="Inter" w:eastAsia="Inter" w:hAnsi="Inter"/>
          <w:color w:val="0F172A"/>
          <w:sz w:val="20"/>
          <w:szCs w:val="20"/>
        </w:rPr>
        <w:t xml:space="preserve">5.3  Feedback. Customer may from time to time provide Arcus with suggestions, comments, or feedback regarding the Services. Customer grants Arcus a royalty-free, irrevocable, perpetual, worldwide license to use and incorporate any such feedback into the Services without attribution or compensation.</w:t>
      </w:r>
    </w:p>
    <w:p>
      <w:pPr>
        <w:pStyle w:val="Heading2"/>
        <w:spacing w:after="100" w:before="240"/>
      </w:pPr>
      <w:r>
        <w:rPr>
          <w:rFonts w:ascii="Inter" w:cs="Inter" w:eastAsia="Inter" w:hAnsi="Inter"/>
          <w:b/>
          <w:bCs/>
          <w:color w:val="1E2761"/>
          <w:sz w:val="22"/>
          <w:szCs w:val="22"/>
        </w:rPr>
        <w:t xml:space="preserve">6. CONFIDENTIALITY</w:t>
      </w:r>
    </w:p>
    <w:p>
      <w:pPr>
        <w:spacing w:after="120" w:line="300"/>
        <w:jc w:val="both"/>
      </w:pPr>
      <w:r>
        <w:rPr>
          <w:rFonts w:ascii="Inter" w:cs="Inter" w:eastAsia="Inter" w:hAnsi="Inter"/>
          <w:color w:val="0F172A"/>
          <w:sz w:val="20"/>
          <w:szCs w:val="20"/>
        </w:rPr>
        <w:t xml:space="preserve">6.1  Definition. "Confidential Information" means all information disclosed by one Party (the "Disclosing Party") to the other Party (the "Receiving Party"), whether orally or in writing, that is designated as confidential or that reasonably should be understood to be confidential given the nature of the information and the circumstances of disclosure. Arcus's Confidential Information includes the Services and the Documentation; Customer's Confidential Information includes Customer Data.</w:t>
      </w:r>
    </w:p>
    <w:p>
      <w:pPr>
        <w:spacing w:after="120" w:line="300"/>
        <w:jc w:val="both"/>
      </w:pPr>
      <w:r>
        <w:rPr>
          <w:rFonts w:ascii="Inter" w:cs="Inter" w:eastAsia="Inter" w:hAnsi="Inter"/>
          <w:color w:val="0F172A"/>
          <w:sz w:val="20"/>
          <w:szCs w:val="20"/>
        </w:rPr>
        <w:t xml:space="preserve">6.2  Protection. The Receiving Party shall use the same degree of care that it uses to protect the confidentiality of its own confidential information of like kind (but in no event less than reasonable care) to (a) not use any Confidential Information of the Disclosing Party for any purpose outside the scope of this Agreement and (b) except as otherwise authorized by the Disclosing Party in writing, limit access to the Confidential Information to those of its employees, contractors, and agents who need such access for purposes consistent with this Agreement and who are subject to confidentiality obligations no less protective than those herein.</w:t>
      </w:r>
    </w:p>
    <w:p>
      <w:pPr>
        <w:spacing w:after="120" w:line="300"/>
        <w:jc w:val="both"/>
      </w:pPr>
      <w:r>
        <w:rPr>
          <w:rFonts w:ascii="Inter" w:cs="Inter" w:eastAsia="Inter" w:hAnsi="Inter"/>
          <w:color w:val="0F172A"/>
          <w:sz w:val="20"/>
          <w:szCs w:val="20"/>
        </w:rPr>
        <w:t xml:space="preserve">6.3  Compelled Disclosure. The Receiving Party may disclose Confidential Information to the extent compelled by law to do so, provided the Receiving Party gives the Disclosing Party prior notice of the compelled disclosure (to the extent legally permitted) and reasonable assistance, at the Disclosing Party's cost, if the Disclosing Party wishes to contest the disclosure.</w:t>
      </w:r>
    </w:p>
    <w:p>
      <w:pPr>
        <w:pStyle w:val="Heading2"/>
        <w:spacing w:after="100" w:before="240"/>
      </w:pPr>
      <w:r>
        <w:rPr>
          <w:rFonts w:ascii="Inter" w:cs="Inter" w:eastAsia="Inter" w:hAnsi="Inter"/>
          <w:b/>
          <w:bCs/>
          <w:color w:val="1E2761"/>
          <w:sz w:val="22"/>
          <w:szCs w:val="22"/>
        </w:rPr>
        <w:t xml:space="preserve">7. SECURITY AND PRIVACY</w:t>
      </w:r>
    </w:p>
    <w:p>
      <w:pPr>
        <w:spacing w:after="120" w:line="300"/>
        <w:jc w:val="both"/>
      </w:pPr>
      <w:r>
        <w:rPr>
          <w:rFonts w:ascii="Inter" w:cs="Inter" w:eastAsia="Inter" w:hAnsi="Inter"/>
          <w:color w:val="0F172A"/>
          <w:sz w:val="20"/>
          <w:szCs w:val="20"/>
        </w:rPr>
        <w:t xml:space="preserve">7.1  Security Program. Arcus maintains a comprehensive written information security program that includes administrative, technical, and physical safeguards designed to protect Customer Data against unauthorized access, destruction, use, modification, or disclosure. Arcus's security program is certified as SOC 2 Type II compliant and ISO 27001 certified, with annual third-party audits. Arcus's security measures are set forth in Exhibit D (Security Addendum).</w:t>
      </w:r>
    </w:p>
    <w:p>
      <w:pPr>
        <w:spacing w:after="120" w:line="300"/>
        <w:jc w:val="both"/>
      </w:pPr>
      <w:r>
        <w:rPr>
          <w:rFonts w:ascii="Inter" w:cs="Inter" w:eastAsia="Inter" w:hAnsi="Inter"/>
          <w:color w:val="0F172A"/>
          <w:sz w:val="20"/>
          <w:szCs w:val="20"/>
        </w:rPr>
        <w:t xml:space="preserve">7.2  Data Protection. Arcus complies with applicable data protection laws, including the General Data Protection Regulation (GDPR), the California Consumer Privacy Act (CCPA), and, for Customer data governed by the Health Insurance Portability and Accountability Act (HIPAA), the Arcus Business Associate Agreement available upon request. A Data Processing Addendum is attached as Exhibit E and incorporated by reference.</w:t>
      </w:r>
    </w:p>
    <w:p>
      <w:pPr>
        <w:spacing w:after="120" w:line="300"/>
        <w:jc w:val="both"/>
      </w:pPr>
      <w:r>
        <w:rPr>
          <w:rFonts w:ascii="Inter" w:cs="Inter" w:eastAsia="Inter" w:hAnsi="Inter"/>
          <w:color w:val="0F172A"/>
          <w:sz w:val="20"/>
          <w:szCs w:val="20"/>
        </w:rPr>
        <w:t xml:space="preserve">7.3  Incident Notification. Arcus shall notify Customer without undue delay, and in any event within seventy-two (72) hours, after becoming aware of a confirmed security incident involving Customer Data. Such notice shall include a description of the nature of the incident, the categories and approximate volume of Customer Data concerned, the likely consequences, and the measures taken or proposed to address the incident.</w:t>
      </w:r>
    </w:p>
    <w:p>
      <w:pPr>
        <w:pStyle w:val="Heading2"/>
        <w:spacing w:after="100" w:before="240"/>
      </w:pPr>
      <w:r>
        <w:rPr>
          <w:rFonts w:ascii="Inter" w:cs="Inter" w:eastAsia="Inter" w:hAnsi="Inter"/>
          <w:b/>
          <w:bCs/>
          <w:color w:val="1E2761"/>
          <w:sz w:val="22"/>
          <w:szCs w:val="22"/>
        </w:rPr>
        <w:t xml:space="preserve">8. WARRANTIES AND DISCLAIMERS</w:t>
      </w:r>
    </w:p>
    <w:p>
      <w:pPr>
        <w:spacing w:after="120" w:line="300"/>
        <w:jc w:val="both"/>
      </w:pPr>
      <w:r>
        <w:rPr>
          <w:rFonts w:ascii="Inter" w:cs="Inter" w:eastAsia="Inter" w:hAnsi="Inter"/>
          <w:color w:val="0F172A"/>
          <w:sz w:val="20"/>
          <w:szCs w:val="20"/>
        </w:rPr>
        <w:t xml:space="preserve">8.1  Mutual Warranties. Each Party represents and warrants that (a) it has the legal power and authority to enter into this Agreement; and (b) its performance of this Agreement will not violate any applicable law or regulation or any agreement to which such Party is bound.</w:t>
      </w:r>
    </w:p>
    <w:p>
      <w:pPr>
        <w:spacing w:after="120" w:line="300"/>
        <w:jc w:val="both"/>
      </w:pPr>
      <w:r>
        <w:rPr>
          <w:rFonts w:ascii="Inter" w:cs="Inter" w:eastAsia="Inter" w:hAnsi="Inter"/>
          <w:color w:val="0F172A"/>
          <w:sz w:val="20"/>
          <w:szCs w:val="20"/>
        </w:rPr>
        <w:t xml:space="preserve">8.2  Arcus Warranties. Arcus warrants that during an applicable Subscription Term: (a) the Services will perform materially in accordance with the applicable Documentation; and (b) Arcus will not materially decrease the overall functionality of the Services. For any breach of the foregoing warranties, Customer's exclusive remedy shall be as provided in the Termination sections below.</w:t>
      </w:r>
    </w:p>
    <w:p>
      <w:pPr>
        <w:spacing w:after="120" w:line="300"/>
        <w:jc w:val="both"/>
      </w:pPr>
      <w:r>
        <w:rPr>
          <w:rFonts w:ascii="Inter" w:cs="Inter" w:eastAsia="Inter" w:hAnsi="Inter"/>
          <w:color w:val="0F172A"/>
          <w:sz w:val="20"/>
          <w:szCs w:val="20"/>
        </w:rPr>
        <w:t xml:space="preserve">8.3  Disclaimers. EXCEPT AS EXPRESSLY PROVIDED HEREIN, THE SERVICES ARE PROVIDED "AS IS" AND ARCUS EXPRESSLY DISCLAIMS ALL WARRANTIES OF ANY KIND, WHETHER EXPRESS, IMPLIED, STATUTORY, OR OTHERWISE, INCLUDING ALL IMPLIED WARRANTIES OF MERCHANTABILITY, FITNESS FOR A PARTICULAR PURPOSE, TITLE, AND NON-INFRINGEMENT. ARCUS DOES NOT WARRANT THAT THE SERVICES WILL BE UNINTERRUPTED OR ERROR-FREE.</w:t>
      </w:r>
    </w:p>
    <w:p>
      <w:pPr>
        <w:pStyle w:val="Heading2"/>
        <w:spacing w:after="100" w:before="240"/>
      </w:pPr>
      <w:r>
        <w:rPr>
          <w:rFonts w:ascii="Inter" w:cs="Inter" w:eastAsia="Inter" w:hAnsi="Inter"/>
          <w:b/>
          <w:bCs/>
          <w:color w:val="1E2761"/>
          <w:sz w:val="22"/>
          <w:szCs w:val="22"/>
        </w:rPr>
        <w:t xml:space="preserve">9. INDEMNIFICATION</w:t>
      </w:r>
    </w:p>
    <w:p>
      <w:pPr>
        <w:spacing w:after="120" w:line="300"/>
        <w:jc w:val="both"/>
      </w:pPr>
      <w:r>
        <w:rPr>
          <w:rFonts w:ascii="Inter" w:cs="Inter" w:eastAsia="Inter" w:hAnsi="Inter"/>
          <w:color w:val="0F172A"/>
          <w:sz w:val="20"/>
          <w:szCs w:val="20"/>
        </w:rPr>
        <w:t xml:space="preserve">9.1  Indemnification by Arcus. Arcus shall defend, indemnify, and hold harmless Customer from and against any third-party claim alleging that the Services, as provided by Arcus and used in accordance with this Agreement, infringe any patent, copyright, trademark, or trade secret of such third party. If any portion of the Services becomes, or in Arcus's opinion is likely to become, the subject of a claim of infringement, Arcus may, at its option: (a) procure for Customer the right to continue using the Services; (b) replace the Services with a non-infringing alternative; (c) modify the Services to make them non-infringing; or (d) terminate the affected Order Form and refund any prepaid fees for the remaining portion of the Subscription Term.</w:t>
      </w:r>
    </w:p>
    <w:p>
      <w:pPr>
        <w:spacing w:after="120" w:line="300"/>
        <w:jc w:val="both"/>
      </w:pPr>
      <w:r>
        <w:rPr>
          <w:rFonts w:ascii="Inter" w:cs="Inter" w:eastAsia="Inter" w:hAnsi="Inter"/>
          <w:color w:val="0F172A"/>
          <w:sz w:val="20"/>
          <w:szCs w:val="20"/>
        </w:rPr>
        <w:t xml:space="preserve">9.2  Indemnification by Customer. Customer shall defend, indemnify, and hold harmless Arcus from and against any third-party claim arising out of (a) Customer's breach of Section 3 (Customer Obligations); or (b) Customer Data or Customer's use of the Services in violation of applicable law or third-party rights.</w:t>
      </w:r>
    </w:p>
    <w:p>
      <w:pPr>
        <w:spacing w:after="120" w:line="300"/>
        <w:jc w:val="both"/>
      </w:pPr>
      <w:r>
        <w:rPr>
          <w:rFonts w:ascii="Inter" w:cs="Inter" w:eastAsia="Inter" w:hAnsi="Inter"/>
          <w:color w:val="0F172A"/>
          <w:sz w:val="20"/>
          <w:szCs w:val="20"/>
        </w:rPr>
        <w:t xml:space="preserve">9.3  Procedure. The indemnification obligations above are conditioned on the indemnified Party: (a) promptly notifying the indemnifying Party of the claim; (b) granting the indemnifying Party sole control over the defense and settlement of the claim (provided that no settlement that imposes any obligation on the indemnified Party shall be made without its consent); and (c) cooperating with the indemnifying Party at its reasonable request and expense.</w:t>
      </w:r>
    </w:p>
    <w:p>
      <w:pPr>
        <w:pStyle w:val="Heading2"/>
        <w:spacing w:after="100" w:before="240"/>
      </w:pPr>
      <w:r>
        <w:rPr>
          <w:rFonts w:ascii="Inter" w:cs="Inter" w:eastAsia="Inter" w:hAnsi="Inter"/>
          <w:b/>
          <w:bCs/>
          <w:color w:val="1E2761"/>
          <w:sz w:val="22"/>
          <w:szCs w:val="22"/>
        </w:rPr>
        <w:t xml:space="preserve">10. LIMITATION OF LIABILITY</w:t>
      </w:r>
    </w:p>
    <w:p>
      <w:pPr>
        <w:spacing w:after="120" w:line="300"/>
        <w:jc w:val="both"/>
      </w:pPr>
      <w:r>
        <w:rPr>
          <w:rFonts w:ascii="Inter" w:cs="Inter" w:eastAsia="Inter" w:hAnsi="Inter"/>
          <w:color w:val="0F172A"/>
          <w:sz w:val="20"/>
          <w:szCs w:val="20"/>
        </w:rPr>
        <w:t xml:space="preserve">10.1  Exclusion of Damages. TO THE MAXIMUM EXTENT PERMITTED BY LAW, NEITHER PARTY SHALL BE LIABLE TO THE OTHER FOR ANY CONSEQUENTIAL, INCIDENTAL, SPECIAL, PUNITIVE, OR EXEMPLARY DAMAGES, OR FOR LOST PROFITS, LOST REVENUES, LOST DATA, OR COST OF SUBSTITUTE SERVICES, ARISING OUT OF OR RELATED TO THIS AGREEMENT, WHETHER IN CONTRACT, TORT, OR OTHERWISE, EVEN IF SUCH PARTY HAS BEEN ADVISED OF THE POSSIBILITY OF SUCH DAMAGES.</w:t>
      </w:r>
    </w:p>
    <w:p>
      <w:pPr>
        <w:spacing w:after="120" w:line="300"/>
        <w:jc w:val="both"/>
      </w:pPr>
      <w:r>
        <w:rPr>
          <w:rFonts w:ascii="Inter" w:cs="Inter" w:eastAsia="Inter" w:hAnsi="Inter"/>
          <w:color w:val="0F172A"/>
          <w:sz w:val="20"/>
          <w:szCs w:val="20"/>
        </w:rPr>
        <w:t xml:space="preserve">10.2  Cap on Direct Damages. EACH PARTY'S TOTAL CUMULATIVE LIABILITY ARISING OUT OF OR RELATED TO THIS AGREEMENT SHALL NOT EXCEED THE TOTAL AMOUNT PAID BY CUSTOMER TO ARCUS UNDER THIS AGREEMENT IN THE TWELVE (12) MONTHS PRECEDING THE EVENT GIVING RISE TO LIABILITY.</w:t>
      </w:r>
    </w:p>
    <w:p>
      <w:pPr>
        <w:spacing w:after="120" w:line="300"/>
        <w:jc w:val="both"/>
      </w:pPr>
      <w:r>
        <w:rPr>
          <w:rFonts w:ascii="Inter" w:cs="Inter" w:eastAsia="Inter" w:hAnsi="Inter"/>
          <w:color w:val="0F172A"/>
          <w:sz w:val="20"/>
          <w:szCs w:val="20"/>
        </w:rPr>
        <w:t xml:space="preserve">10.3  Exclusions. The limitations in Sections 10.1 and 10.2 shall not apply to: (a) Customer's payment obligations; (b) either Party's indemnification obligations under Section 9; (c) either Party's breach of its confidentiality obligations; or (d) damages arising from a Party's gross negligence, willful misconduct, or fraud.</w:t>
      </w:r>
    </w:p>
    <w:p>
      <w:pPr>
        <w:pStyle w:val="Heading2"/>
        <w:spacing w:after="100" w:before="240"/>
      </w:pPr>
      <w:r>
        <w:rPr>
          <w:rFonts w:ascii="Inter" w:cs="Inter" w:eastAsia="Inter" w:hAnsi="Inter"/>
          <w:b/>
          <w:bCs/>
          <w:color w:val="1E2761"/>
          <w:sz w:val="22"/>
          <w:szCs w:val="22"/>
        </w:rPr>
        <w:t xml:space="preserve">11. TERM AND TERMINATION</w:t>
      </w:r>
    </w:p>
    <w:p>
      <w:pPr>
        <w:spacing w:after="120" w:line="300"/>
        <w:jc w:val="both"/>
      </w:pPr>
      <w:r>
        <w:rPr>
          <w:rFonts w:ascii="Inter" w:cs="Inter" w:eastAsia="Inter" w:hAnsi="Inter"/>
          <w:color w:val="0F172A"/>
          <w:sz w:val="20"/>
          <w:szCs w:val="20"/>
        </w:rPr>
        <w:t xml:space="preserve">11.1  Term of Agreement. This Agreement commences on the Effective Date and continues until all Order Forms hereunder have expired or have been terminated in accordance with their terms.</w:t>
      </w:r>
    </w:p>
    <w:p>
      <w:pPr>
        <w:spacing w:after="120" w:line="300"/>
        <w:jc w:val="both"/>
      </w:pPr>
      <w:r>
        <w:rPr>
          <w:rFonts w:ascii="Inter" w:cs="Inter" w:eastAsia="Inter" w:hAnsi="Inter"/>
          <w:color w:val="0F172A"/>
          <w:sz w:val="20"/>
          <w:szCs w:val="20"/>
        </w:rPr>
        <w:t xml:space="preserve">11.2  Term of Order Forms. Each Order Form shall have the Subscription Term specified therein. Except as otherwise specified in an Order Form, subscriptions shall automatically renew for additional periods equal to the expiring Subscription Term unless either Party gives the other written notice of non-renewal at least sixty (60) days before the end of the then-current Subscription Term.</w:t>
      </w:r>
    </w:p>
    <w:p>
      <w:pPr>
        <w:spacing w:after="120" w:line="300"/>
        <w:jc w:val="both"/>
      </w:pPr>
      <w:r>
        <w:rPr>
          <w:rFonts w:ascii="Inter" w:cs="Inter" w:eastAsia="Inter" w:hAnsi="Inter"/>
          <w:color w:val="0F172A"/>
          <w:sz w:val="20"/>
          <w:szCs w:val="20"/>
        </w:rPr>
        <w:t xml:space="preserve">11.3  Termination for Cause. A Party may terminate this Agreement for cause: (a) upon thirty (30) days' written notice of a material breach to the other Party if such breach remains uncured at the expiration of such thirty-day period; or (b) if the other Party becomes the subject of a petition in bankruptcy or any other proceeding relating to insolvency, receivership, liquidation, or assignment for the benefit of creditors.</w:t>
      </w:r>
    </w:p>
    <w:p>
      <w:pPr>
        <w:spacing w:after="120" w:line="300"/>
        <w:jc w:val="both"/>
      </w:pPr>
      <w:r>
        <w:rPr>
          <w:rFonts w:ascii="Inter" w:cs="Inter" w:eastAsia="Inter" w:hAnsi="Inter"/>
          <w:color w:val="0F172A"/>
          <w:sz w:val="20"/>
          <w:szCs w:val="20"/>
        </w:rPr>
        <w:t xml:space="preserve">11.4  Effect of Termination. Upon any termination or expiration of this Agreement or an Order Form: (a) all rights granted to Customer under the applicable Order Form shall cease; (b) Customer shall cease all use of the affected Services; and (c) Arcus shall make Customer Data available for export for a period of thirty (30) days thereafter. If this Agreement is terminated by Customer for Arcus's material breach, Arcus shall refund any prepaid fees attributable to the period after the effective date of termination.</w:t>
      </w:r>
    </w:p>
    <w:p>
      <w:pPr>
        <w:pStyle w:val="Heading2"/>
        <w:spacing w:after="100" w:before="240"/>
      </w:pPr>
      <w:r>
        <w:rPr>
          <w:rFonts w:ascii="Inter" w:cs="Inter" w:eastAsia="Inter" w:hAnsi="Inter"/>
          <w:b/>
          <w:bCs/>
          <w:color w:val="1E2761"/>
          <w:sz w:val="22"/>
          <w:szCs w:val="22"/>
        </w:rPr>
        <w:t xml:space="preserve">12. GENERAL PROVISIONS</w:t>
      </w:r>
    </w:p>
    <w:p>
      <w:pPr>
        <w:spacing w:after="120" w:line="300"/>
        <w:jc w:val="both"/>
      </w:pPr>
      <w:r>
        <w:rPr>
          <w:rFonts w:ascii="Inter" w:cs="Inter" w:eastAsia="Inter" w:hAnsi="Inter"/>
          <w:color w:val="0F172A"/>
          <w:sz w:val="20"/>
          <w:szCs w:val="20"/>
        </w:rPr>
        <w:t xml:space="preserve">12.1  Governing Law. This Agreement shall be governed by the laws of the State of Delaware, without regard to its conflict of laws principles. The Parties consent to the exclusive jurisdiction of the state and federal courts located in the State of Delaware for any disputes arising out of or relating to this Agreement.</w:t>
      </w:r>
    </w:p>
    <w:p>
      <w:pPr>
        <w:spacing w:after="120" w:line="300"/>
        <w:jc w:val="both"/>
      </w:pPr>
      <w:r>
        <w:rPr>
          <w:rFonts w:ascii="Inter" w:cs="Inter" w:eastAsia="Inter" w:hAnsi="Inter"/>
          <w:color w:val="0F172A"/>
          <w:sz w:val="20"/>
          <w:szCs w:val="20"/>
        </w:rPr>
        <w:t xml:space="preserve">12.2  Assignment. Neither Party may assign this Agreement without the prior written consent of the other Party, except that either Party may assign this Agreement in connection with a merger, acquisition, corporate reorganization, or sale of all or substantially all of its assets.</w:t>
      </w:r>
    </w:p>
    <w:p>
      <w:pPr>
        <w:spacing w:after="120" w:line="300"/>
        <w:jc w:val="both"/>
      </w:pPr>
      <w:r>
        <w:rPr>
          <w:rFonts w:ascii="Inter" w:cs="Inter" w:eastAsia="Inter" w:hAnsi="Inter"/>
          <w:color w:val="0F172A"/>
          <w:sz w:val="20"/>
          <w:szCs w:val="20"/>
        </w:rPr>
        <w:t xml:space="preserve">12.3  Entire Agreement. This Agreement, together with all exhibits, addenda, and Order Forms, constitutes the entire agreement between the Parties with respect to the subject matter hereof and supersedes all prior or contemporaneous agreements, proposals, or representations.</w:t>
      </w:r>
    </w:p>
    <w:p>
      <w:pPr>
        <w:spacing w:after="120" w:line="300"/>
        <w:jc w:val="both"/>
      </w:pPr>
      <w:r>
        <w:rPr>
          <w:rFonts w:ascii="Inter" w:cs="Inter" w:eastAsia="Inter" w:hAnsi="Inter"/>
          <w:color w:val="0F172A"/>
          <w:sz w:val="20"/>
          <w:szCs w:val="20"/>
        </w:rPr>
        <w:t xml:space="preserve">12.4  Amendments. This Agreement may be amended only by a written instrument executed by authorized representatives of both Parties.</w:t>
      </w:r>
    </w:p>
    <w:p>
      <w:pPr>
        <w:spacing w:after="120" w:line="300"/>
        <w:jc w:val="both"/>
      </w:pPr>
      <w:r>
        <w:rPr>
          <w:rFonts w:ascii="Inter" w:cs="Inter" w:eastAsia="Inter" w:hAnsi="Inter"/>
          <w:color w:val="0F172A"/>
          <w:sz w:val="20"/>
          <w:szCs w:val="20"/>
        </w:rPr>
        <w:t xml:space="preserve">12.5  Force Majeure. Neither Party shall be liable for any failure or delay in performance under this Agreement to the extent such failure or delay is caused by circumstances beyond its reasonable control, including acts of God, war, terrorism, riots, natural disasters, pandemics, governmental action, or failures of the Internet.</w:t>
      </w:r>
    </w:p>
    <w:p>
      <w:pPr>
        <w:spacing w:after="120" w:line="300"/>
        <w:jc w:val="both"/>
      </w:pPr>
      <w:r>
        <w:rPr>
          <w:rFonts w:ascii="Inter" w:cs="Inter" w:eastAsia="Inter" w:hAnsi="Inter"/>
          <w:color w:val="0F172A"/>
          <w:sz w:val="20"/>
          <w:szCs w:val="20"/>
        </w:rPr>
        <w:t xml:space="preserve">12.6  Counterparts and Electronic Signatures. This Agreement may be executed in counterparts, each of which shall be deemed an original and all of which together shall constitute one and the same instrument. Signatures delivered electronically shall have the same force and effect as original signatures.</w:t>
      </w:r>
    </w:p>
    <w:p>
      <w:pPr>
        <w:spacing w:after="120"/>
      </w:pPr>
      <w:r>
        <w:t xml:space="preserve"/>
      </w:r>
    </w:p>
    <w:p>
      <w:pPr>
        <w:pStyle w:val="Heading2"/>
        <w:spacing w:after="100" w:before="240"/>
      </w:pPr>
      <w:r>
        <w:rPr>
          <w:rFonts w:ascii="Inter" w:cs="Inter" w:eastAsia="Inter" w:hAnsi="Inter"/>
          <w:b/>
          <w:bCs/>
          <w:color w:val="1E2761"/>
          <w:sz w:val="22"/>
          <w:szCs w:val="22"/>
        </w:rPr>
        <w:t xml:space="preserve">Signatures</w:t>
      </w:r>
    </w:p>
    <w:p>
      <w:pPr>
        <w:spacing w:after="120" w:line="300"/>
        <w:jc w:val="both"/>
      </w:pPr>
      <w:r>
        <w:rPr>
          <w:rFonts w:ascii="Inter" w:cs="Inter" w:eastAsia="Inter" w:hAnsi="Inter"/>
          <w:color w:val="0F172A"/>
          <w:sz w:val="20"/>
          <w:szCs w:val="20"/>
        </w:rPr>
        <w:t xml:space="preserve">IN WITNESS WHEREOF, the Parties have executed this Master Subscription Agreement as of the Effective Date.</w:t>
      </w:r>
    </w:p>
    <w:p>
      <w:pPr>
        <w:spacing w:after="120"/>
      </w:pPr>
      <w:r>
        <w:t xml:space="preserve"/>
      </w:r>
    </w:p>
    <w:p>
      <w:pPr>
        <w:spacing w:after="120" w:line="300"/>
        <w:jc w:val="both"/>
      </w:pPr>
      <w:r>
        <w:rPr>
          <w:rFonts w:ascii="Inter" w:cs="Inter" w:eastAsia="Inter" w:hAnsi="Inter"/>
          <w:color w:val="0F172A"/>
          <w:sz w:val="20"/>
          <w:szCs w:val="20"/>
        </w:rPr>
        <w:t xml:space="preserve">ARCUS, INC.</w:t>
      </w:r>
    </w:p>
    <w:p>
      <w:pPr>
        <w:spacing w:after="120" w:line="300"/>
        <w:jc w:val="both"/>
      </w:pPr>
      <w:r>
        <w:rPr>
          <w:rFonts w:ascii="Inter" w:cs="Inter" w:eastAsia="Inter" w:hAnsi="Inter"/>
          <w:color w:val="0F172A"/>
          <w:sz w:val="20"/>
          <w:szCs w:val="20"/>
        </w:rPr>
        <w:t xml:space="preserve">By:  /s/ Sarah Chen</w:t>
      </w:r>
    </w:p>
    <w:p>
      <w:pPr>
        <w:spacing w:after="120" w:line="300"/>
        <w:jc w:val="both"/>
      </w:pPr>
      <w:r>
        <w:rPr>
          <w:rFonts w:ascii="Inter" w:cs="Inter" w:eastAsia="Inter" w:hAnsi="Inter"/>
          <w:color w:val="0F172A"/>
          <w:sz w:val="20"/>
          <w:szCs w:val="20"/>
        </w:rPr>
        <w:t xml:space="preserve">Name:  Sarah Chen</w:t>
      </w:r>
    </w:p>
    <w:p>
      <w:pPr>
        <w:spacing w:after="120" w:line="300"/>
        <w:jc w:val="both"/>
      </w:pPr>
      <w:r>
        <w:rPr>
          <w:rFonts w:ascii="Inter" w:cs="Inter" w:eastAsia="Inter" w:hAnsi="Inter"/>
          <w:color w:val="0F172A"/>
          <w:sz w:val="20"/>
          <w:szCs w:val="20"/>
        </w:rPr>
        <w:t xml:space="preserve">Title:  Chief Executive Officer</w:t>
      </w:r>
    </w:p>
    <w:p>
      <w:pPr>
        <w:spacing w:after="120" w:line="300"/>
        <w:jc w:val="both"/>
      </w:pPr>
      <w:r>
        <w:rPr>
          <w:rFonts w:ascii="Inter" w:cs="Inter" w:eastAsia="Inter" w:hAnsi="Inter"/>
          <w:color w:val="0F172A"/>
          <w:sz w:val="20"/>
          <w:szCs w:val="20"/>
        </w:rPr>
        <w:t xml:space="preserve">Date:  September 15, 2021</w:t>
      </w:r>
    </w:p>
    <w:p>
      <w:pPr>
        <w:spacing w:after="120"/>
      </w:pPr>
      <w:r>
        <w:t xml:space="preserve"/>
      </w:r>
    </w:p>
    <w:p>
      <w:pPr>
        <w:spacing w:after="120" w:line="300"/>
        <w:jc w:val="both"/>
      </w:pPr>
      <w:r>
        <w:rPr>
          <w:rFonts w:ascii="Inter" w:cs="Inter" w:eastAsia="Inter" w:hAnsi="Inter"/>
          <w:color w:val="0F172A"/>
          <w:sz w:val="20"/>
          <w:szCs w:val="20"/>
        </w:rPr>
        <w:t xml:space="preserve">MERIDIAN GLOBAL LOGISTICS, INC.</w:t>
      </w:r>
    </w:p>
    <w:p>
      <w:pPr>
        <w:spacing w:after="120" w:line="300"/>
        <w:jc w:val="both"/>
      </w:pPr>
      <w:r>
        <w:rPr>
          <w:rFonts w:ascii="Inter" w:cs="Inter" w:eastAsia="Inter" w:hAnsi="Inter"/>
          <w:color w:val="0F172A"/>
          <w:sz w:val="20"/>
          <w:szCs w:val="20"/>
        </w:rPr>
        <w:t xml:space="preserve">By:  /s/ [REDACTED]</w:t>
      </w:r>
    </w:p>
    <w:p>
      <w:pPr>
        <w:spacing w:after="120" w:line="300"/>
        <w:jc w:val="both"/>
      </w:pPr>
      <w:r>
        <w:rPr>
          <w:rFonts w:ascii="Inter" w:cs="Inter" w:eastAsia="Inter" w:hAnsi="Inter"/>
          <w:color w:val="0F172A"/>
          <w:sz w:val="20"/>
          <w:szCs w:val="20"/>
        </w:rPr>
        <w:t xml:space="preserve">Name:  [REDACTED]</w:t>
      </w:r>
    </w:p>
    <w:p>
      <w:pPr>
        <w:spacing w:after="120" w:line="300"/>
        <w:jc w:val="both"/>
      </w:pPr>
      <w:r>
        <w:rPr>
          <w:rFonts w:ascii="Inter" w:cs="Inter" w:eastAsia="Inter" w:hAnsi="Inter"/>
          <w:color w:val="0F172A"/>
          <w:sz w:val="20"/>
          <w:szCs w:val="20"/>
        </w:rPr>
        <w:t xml:space="preserve">Title:  Chief Financial Officer</w:t>
      </w:r>
    </w:p>
    <w:p>
      <w:pPr>
        <w:spacing w:after="120" w:line="300"/>
        <w:jc w:val="both"/>
      </w:pPr>
      <w:r>
        <w:rPr>
          <w:rFonts w:ascii="Inter" w:cs="Inter" w:eastAsia="Inter" w:hAnsi="Inter"/>
          <w:color w:val="0F172A"/>
          <w:sz w:val="20"/>
          <w:szCs w:val="20"/>
        </w:rPr>
        <w:t xml:space="preserve">Date:  September 15, 2021</w:t>
      </w:r>
    </w:p>
    <w:p>
      <w:r>
        <w:br w:type="page"/>
      </w:r>
    </w:p>
    <w:p>
      <w:pPr>
        <w:pStyle w:val="Heading1"/>
        <w:spacing w:after="120" w:before="320"/>
      </w:pPr>
      <w:r>
        <w:rPr>
          <w:rFonts w:ascii="Inter" w:cs="Inter" w:eastAsia="Inter" w:hAnsi="Inter"/>
          <w:b/>
          <w:bCs/>
          <w:color w:val="1E2761"/>
          <w:sz w:val="28"/>
          <w:szCs w:val="28"/>
        </w:rPr>
        <w:t xml:space="preserve">Exhibit A — Order Form (Specimen)</w:t>
      </w:r>
    </w:p>
    <w:p>
      <w:pPr>
        <w:spacing w:after="100"/>
        <w:jc w:val="center"/>
      </w:pPr>
      <w:r>
        <w:rPr>
          <w:rFonts w:ascii="Inter" w:cs="Inter" w:eastAsia="Inter" w:hAnsi="Inter"/>
          <w:i/>
          <w:iCs/>
          <w:color w:val="6B7280"/>
          <w:sz w:val="17"/>
          <w:szCs w:val="17"/>
        </w:rPr>
        <w:t xml:space="preserve">Commercial terms redacted. Provided to illustrate the structure of Arcus's standard Order Form.</w:t>
      </w:r>
    </w:p>
    <w:p>
      <w:pPr>
        <w:spacing w:after="120"/>
      </w:pPr>
      <w:r>
        <w:t xml:space="preserve"/>
      </w:r>
    </w:p>
    <w:p>
      <w:pPr>
        <w:spacing w:after="120" w:line="300"/>
        <w:jc w:val="both"/>
      </w:pPr>
      <w:r>
        <w:rPr>
          <w:rFonts w:ascii="Inter" w:cs="Inter" w:eastAsia="Inter" w:hAnsi="Inter"/>
          <w:color w:val="0F172A"/>
          <w:sz w:val="20"/>
          <w:szCs w:val="20"/>
        </w:rPr>
        <w:t xml:space="preserve">This Order Form is entered into pursuant to the Master Subscription Agreement dated September 15, 2021 between Arcus, Inc. and Meridian Global Logistics, Inc. Capitalized terms used but not defined herein have the meanings set forth in the Master Subscription Agreement.</w:t>
      </w:r>
    </w:p>
    <w:p>
      <w:pPr>
        <w:pStyle w:val="Heading2"/>
        <w:spacing w:after="100" w:before="240"/>
      </w:pPr>
      <w:r>
        <w:rPr>
          <w:rFonts w:ascii="Inter" w:cs="Inter" w:eastAsia="Inter" w:hAnsi="Inter"/>
          <w:b/>
          <w:bCs/>
          <w:color w:val="1E2761"/>
          <w:sz w:val="22"/>
          <w:szCs w:val="22"/>
        </w:rPr>
        <w:t xml:space="preserve">Services</w:t>
      </w:r>
    </w:p>
    <w:p>
      <w:pPr>
        <w:pStyle w:val="ListParagraph"/>
        <w:numPr>
          <w:ilvl w:val="0"/>
          <w:numId w:val="2"/>
        </w:numPr>
        <w:spacing w:after="60"/>
      </w:pPr>
      <w:r>
        <w:rPr>
          <w:rFonts w:ascii="Inter" w:cs="Inter" w:eastAsia="Inter" w:hAnsi="Inter"/>
          <w:color w:val="0F172A"/>
          <w:sz w:val="20"/>
          <w:szCs w:val="20"/>
        </w:rPr>
        <w:t xml:space="preserve">Arcus Visibility — unlimited users, unlimited connectors</w:t>
      </w:r>
    </w:p>
    <w:p>
      <w:pPr>
        <w:pStyle w:val="ListParagraph"/>
        <w:numPr>
          <w:ilvl w:val="0"/>
          <w:numId w:val="2"/>
        </w:numPr>
        <w:spacing w:after="60"/>
      </w:pPr>
      <w:r>
        <w:rPr>
          <w:rFonts w:ascii="Inter" w:cs="Inter" w:eastAsia="Inter" w:hAnsi="Inter"/>
          <w:color w:val="0F172A"/>
          <w:sz w:val="20"/>
          <w:szCs w:val="20"/>
        </w:rPr>
        <w:t xml:space="preserve">Arcus Signal — unlimited users, 14-day forecast horizon</w:t>
      </w:r>
    </w:p>
    <w:p>
      <w:pPr>
        <w:pStyle w:val="ListParagraph"/>
        <w:numPr>
          <w:ilvl w:val="0"/>
          <w:numId w:val="2"/>
        </w:numPr>
        <w:spacing w:after="60"/>
      </w:pPr>
      <w:r>
        <w:rPr>
          <w:rFonts w:ascii="Inter" w:cs="Inter" w:eastAsia="Inter" w:hAnsi="Inter"/>
          <w:color w:val="0F172A"/>
          <w:sz w:val="20"/>
          <w:szCs w:val="20"/>
        </w:rPr>
        <w:t xml:space="preserve">Arcus Autopilot — up to [REDACTED] autonomous actions per month</w:t>
      </w:r>
    </w:p>
    <w:p>
      <w:pPr>
        <w:pStyle w:val="ListParagraph"/>
        <w:numPr>
          <w:ilvl w:val="0"/>
          <w:numId w:val="2"/>
        </w:numPr>
        <w:spacing w:after="60"/>
      </w:pPr>
      <w:r>
        <w:rPr>
          <w:rFonts w:ascii="Inter" w:cs="Inter" w:eastAsia="Inter" w:hAnsi="Inter"/>
          <w:color w:val="0F172A"/>
          <w:sz w:val="20"/>
          <w:szCs w:val="20"/>
        </w:rPr>
        <w:t xml:space="preserve">Dedicated Customer Success Manager — Enterprise+ tier</w:t>
      </w:r>
    </w:p>
    <w:p>
      <w:pPr>
        <w:pStyle w:val="ListParagraph"/>
        <w:numPr>
          <w:ilvl w:val="0"/>
          <w:numId w:val="2"/>
        </w:numPr>
        <w:spacing w:after="60"/>
      </w:pPr>
      <w:r>
        <w:rPr>
          <w:rFonts w:ascii="Inter" w:cs="Inter" w:eastAsia="Inter" w:hAnsi="Inter"/>
          <w:color w:val="0F172A"/>
          <w:sz w:val="20"/>
          <w:szCs w:val="20"/>
        </w:rPr>
        <w:t xml:space="preserve">24x7 Severity 1 Support — Enterprise+ tier</w:t>
      </w:r>
    </w:p>
    <w:p>
      <w:pPr>
        <w:pStyle w:val="Heading2"/>
        <w:spacing w:after="100" w:before="240"/>
      </w:pPr>
      <w:r>
        <w:rPr>
          <w:rFonts w:ascii="Inter" w:cs="Inter" w:eastAsia="Inter" w:hAnsi="Inter"/>
          <w:b/>
          <w:bCs/>
          <w:color w:val="1E2761"/>
          <w:sz w:val="22"/>
          <w:szCs w:val="22"/>
        </w:rPr>
        <w:t xml:space="preserve">Subscription Term</w:t>
      </w:r>
    </w:p>
    <w:p>
      <w:pPr>
        <w:spacing w:after="120" w:line="300"/>
        <w:jc w:val="both"/>
      </w:pPr>
      <w:r>
        <w:rPr>
          <w:rFonts w:ascii="Inter" w:cs="Inter" w:eastAsia="Inter" w:hAnsi="Inter"/>
          <w:color w:val="0F172A"/>
          <w:sz w:val="20"/>
          <w:szCs w:val="20"/>
        </w:rPr>
        <w:t xml:space="preserve">Initial Term: Three (3) years, commencing September 15, 2021 and ending September 14, 2024.</w:t>
      </w:r>
    </w:p>
    <w:p>
      <w:pPr>
        <w:spacing w:after="120" w:line="300"/>
        <w:jc w:val="both"/>
      </w:pPr>
      <w:r>
        <w:rPr>
          <w:rFonts w:ascii="Inter" w:cs="Inter" w:eastAsia="Inter" w:hAnsi="Inter"/>
          <w:color w:val="0F172A"/>
          <w:sz w:val="20"/>
          <w:szCs w:val="20"/>
        </w:rPr>
        <w:t xml:space="preserve">Renewal: Three (3) additional years, commencing September 15, 2024 and ending September 14, 2027.</w:t>
      </w:r>
    </w:p>
    <w:p>
      <w:pPr>
        <w:pStyle w:val="Heading2"/>
        <w:spacing w:after="100" w:before="240"/>
      </w:pPr>
      <w:r>
        <w:rPr>
          <w:rFonts w:ascii="Inter" w:cs="Inter" w:eastAsia="Inter" w:hAnsi="Inter"/>
          <w:b/>
          <w:bCs/>
          <w:color w:val="1E2761"/>
          <w:sz w:val="22"/>
          <w:szCs w:val="22"/>
        </w:rPr>
        <w:t xml:space="preserve">Fees</w:t>
      </w:r>
    </w:p>
    <w:p>
      <w:pPr>
        <w:spacing w:after="120" w:line="300"/>
        <w:jc w:val="both"/>
      </w:pPr>
      <w:r>
        <w:rPr>
          <w:rFonts w:ascii="Inter" w:cs="Inter" w:eastAsia="Inter" w:hAnsi="Inter"/>
          <w:color w:val="0F172A"/>
          <w:sz w:val="20"/>
          <w:szCs w:val="20"/>
        </w:rPr>
        <w:t xml:space="preserve">Initial Term Annual Subscription Fee: [REDACTED]</w:t>
      </w:r>
    </w:p>
    <w:p>
      <w:pPr>
        <w:spacing w:after="120" w:line="300"/>
        <w:jc w:val="both"/>
      </w:pPr>
      <w:r>
        <w:rPr>
          <w:rFonts w:ascii="Inter" w:cs="Inter" w:eastAsia="Inter" w:hAnsi="Inter"/>
          <w:color w:val="0F172A"/>
          <w:sz w:val="20"/>
          <w:szCs w:val="20"/>
        </w:rPr>
        <w:t xml:space="preserve">Renewal Term Annual Subscription Fee: [REDACTED] (escalated per Section 4.4 of the MSA)</w:t>
      </w:r>
    </w:p>
    <w:p>
      <w:pPr>
        <w:spacing w:after="120" w:line="300"/>
        <w:jc w:val="both"/>
      </w:pPr>
      <w:r>
        <w:rPr>
          <w:rFonts w:ascii="Inter" w:cs="Inter" w:eastAsia="Inter" w:hAnsi="Inter"/>
          <w:color w:val="0F172A"/>
          <w:sz w:val="20"/>
          <w:szCs w:val="20"/>
        </w:rPr>
        <w:t xml:space="preserve">Implementation Services (one-time): [REDACTED]</w:t>
      </w:r>
    </w:p>
    <w:p>
      <w:pPr>
        <w:pStyle w:val="Heading2"/>
        <w:spacing w:after="100" w:before="240"/>
      </w:pPr>
      <w:r>
        <w:rPr>
          <w:rFonts w:ascii="Inter" w:cs="Inter" w:eastAsia="Inter" w:hAnsi="Inter"/>
          <w:b/>
          <w:bCs/>
          <w:color w:val="1E2761"/>
          <w:sz w:val="22"/>
          <w:szCs w:val="22"/>
        </w:rPr>
        <w:t xml:space="preserve">Special Terms</w:t>
      </w:r>
    </w:p>
    <w:p>
      <w:pPr>
        <w:pStyle w:val="ListParagraph"/>
        <w:numPr>
          <w:ilvl w:val="0"/>
          <w:numId w:val="2"/>
        </w:numPr>
        <w:spacing w:after="60"/>
      </w:pPr>
      <w:r>
        <w:rPr>
          <w:rFonts w:ascii="Inter" w:cs="Inter" w:eastAsia="Inter" w:hAnsi="Inter"/>
          <w:color w:val="0F172A"/>
          <w:sz w:val="20"/>
          <w:szCs w:val="20"/>
        </w:rPr>
        <w:t xml:space="preserve">Most-favored-nation clause: If Arcus offers materially better terms to any customer of comparable size during the Subscription Term, Customer shall be entitled to the benefit of such terms.</w:t>
      </w:r>
    </w:p>
    <w:p>
      <w:pPr>
        <w:pStyle w:val="ListParagraph"/>
        <w:numPr>
          <w:ilvl w:val="0"/>
          <w:numId w:val="2"/>
        </w:numPr>
        <w:spacing w:after="60"/>
      </w:pPr>
      <w:r>
        <w:rPr>
          <w:rFonts w:ascii="Inter" w:cs="Inter" w:eastAsia="Inter" w:hAnsi="Inter"/>
          <w:color w:val="0F172A"/>
          <w:sz w:val="20"/>
          <w:szCs w:val="20"/>
        </w:rPr>
        <w:t xml:space="preserve">Right of first refusal on any new Arcus modules released during the Subscription Term, on terms no less favorable than Arcus offers to any other customer of comparable size.</w:t>
      </w:r>
    </w:p>
    <w:p>
      <w:pPr>
        <w:pStyle w:val="ListParagraph"/>
        <w:numPr>
          <w:ilvl w:val="0"/>
          <w:numId w:val="2"/>
        </w:numPr>
        <w:spacing w:after="60"/>
      </w:pPr>
      <w:r>
        <w:rPr>
          <w:rFonts w:ascii="Inter" w:cs="Inter" w:eastAsia="Inter" w:hAnsi="Inter"/>
          <w:color w:val="0F172A"/>
          <w:sz w:val="20"/>
          <w:szCs w:val="20"/>
        </w:rPr>
        <w:t xml:space="preserve">Custom data residency: Customer Data shall be stored in AWS us-east-1 and us-west-2 for redundancy.</w:t>
      </w:r>
    </w:p>
    <w:p>
      <w:r>
        <w:br w:type="page"/>
      </w:r>
    </w:p>
    <w:p>
      <w:pPr>
        <w:pStyle w:val="Heading1"/>
        <w:spacing w:after="120" w:before="320"/>
      </w:pPr>
      <w:r>
        <w:rPr>
          <w:rFonts w:ascii="Inter" w:cs="Inter" w:eastAsia="Inter" w:hAnsi="Inter"/>
          <w:b/>
          <w:bCs/>
          <w:color w:val="1E2761"/>
          <w:sz w:val="28"/>
          <w:szCs w:val="28"/>
        </w:rPr>
        <w:t xml:space="preserve">Exhibit B — Service Level Agreement (Summary)</w:t>
      </w:r>
    </w:p>
    <w:p>
      <w:pPr>
        <w:spacing w:after="120"/>
      </w:pPr>
      <w:r>
        <w:t xml:space="preserve"/>
      </w:r>
    </w:p>
    <w:p>
      <w:pPr>
        <w:spacing w:after="120" w:line="300"/>
        <w:jc w:val="both"/>
      </w:pPr>
      <w:r>
        <w:rPr>
          <w:rFonts w:ascii="Inter" w:cs="Inter" w:eastAsia="Inter" w:hAnsi="Inter"/>
          <w:color w:val="0F172A"/>
          <w:sz w:val="20"/>
          <w:szCs w:val="20"/>
        </w:rPr>
        <w:t xml:space="preserve">Arcus commits to a monthly uptime of 99.9% for the Services, measured as follows:</w:t>
      </w:r>
    </w:p>
    <w:p>
      <w:pPr>
        <w:pStyle w:val="ListParagraph"/>
        <w:numPr>
          <w:ilvl w:val="0"/>
          <w:numId w:val="2"/>
        </w:numPr>
        <w:spacing w:after="60"/>
      </w:pPr>
      <w:r>
        <w:rPr>
          <w:rFonts w:ascii="Inter" w:cs="Inter" w:eastAsia="Inter" w:hAnsi="Inter"/>
          <w:color w:val="0F172A"/>
          <w:sz w:val="20"/>
          <w:szCs w:val="20"/>
        </w:rPr>
        <w:t xml:space="preserve">Uptime is measured at the Arcus application layer as reported by Arcus's monitoring systems.</w:t>
      </w:r>
    </w:p>
    <w:p>
      <w:pPr>
        <w:pStyle w:val="ListParagraph"/>
        <w:numPr>
          <w:ilvl w:val="0"/>
          <w:numId w:val="2"/>
        </w:numPr>
        <w:spacing w:after="60"/>
      </w:pPr>
      <w:r>
        <w:rPr>
          <w:rFonts w:ascii="Inter" w:cs="Inter" w:eastAsia="Inter" w:hAnsi="Inter"/>
          <w:color w:val="0F172A"/>
          <w:sz w:val="20"/>
          <w:szCs w:val="20"/>
        </w:rPr>
        <w:t xml:space="preserve">Excluded from uptime calculations: scheduled maintenance (announced at least 72 hours in advance), emergency maintenance (for critical security patches), force majeure events, and disruptions caused by Customer's acts or omissions or by third-party integration providers.</w:t>
      </w:r>
    </w:p>
    <w:p>
      <w:pPr>
        <w:pStyle w:val="Heading2"/>
        <w:spacing w:after="100" w:before="240"/>
      </w:pPr>
      <w:r>
        <w:rPr>
          <w:rFonts w:ascii="Inter" w:cs="Inter" w:eastAsia="Inter" w:hAnsi="Inter"/>
          <w:b/>
          <w:bCs/>
          <w:color w:val="1E2761"/>
          <w:sz w:val="22"/>
          <w:szCs w:val="22"/>
        </w:rPr>
        <w:t xml:space="preserve">Service Credits</w:t>
      </w:r>
    </w:p>
    <w:p>
      <w:pPr>
        <w:spacing w:after="120" w:line="300"/>
        <w:jc w:val="both"/>
      </w:pPr>
      <w:r>
        <w:rPr>
          <w:rFonts w:ascii="Inter" w:cs="Inter" w:eastAsia="Inter" w:hAnsi="Inter"/>
          <w:color w:val="0F172A"/>
          <w:sz w:val="20"/>
          <w:szCs w:val="20"/>
        </w:rPr>
        <w:t xml:space="preserve">If the monthly uptime falls below the committed level, Customer shall be entitled to service credits calculated as a percentage of the monthly subscription fee for the affected Services, as follows:</w:t>
      </w:r>
    </w:p>
    <w:p>
      <w:pPr>
        <w:pStyle w:val="ListParagraph"/>
        <w:numPr>
          <w:ilvl w:val="0"/>
          <w:numId w:val="2"/>
        </w:numPr>
        <w:spacing w:after="60"/>
      </w:pPr>
      <w:r>
        <w:rPr>
          <w:rFonts w:ascii="Inter" w:cs="Inter" w:eastAsia="Inter" w:hAnsi="Inter"/>
          <w:color w:val="0F172A"/>
          <w:sz w:val="20"/>
          <w:szCs w:val="20"/>
        </w:rPr>
        <w:t xml:space="preserve">99.0% to 99.9% — 5% credit</w:t>
      </w:r>
    </w:p>
    <w:p>
      <w:pPr>
        <w:pStyle w:val="ListParagraph"/>
        <w:numPr>
          <w:ilvl w:val="0"/>
          <w:numId w:val="2"/>
        </w:numPr>
        <w:spacing w:after="60"/>
      </w:pPr>
      <w:r>
        <w:rPr>
          <w:rFonts w:ascii="Inter" w:cs="Inter" w:eastAsia="Inter" w:hAnsi="Inter"/>
          <w:color w:val="0F172A"/>
          <w:sz w:val="20"/>
          <w:szCs w:val="20"/>
        </w:rPr>
        <w:t xml:space="preserve">97.0% to 98.99% — 10% credit</w:t>
      </w:r>
    </w:p>
    <w:p>
      <w:pPr>
        <w:pStyle w:val="ListParagraph"/>
        <w:numPr>
          <w:ilvl w:val="0"/>
          <w:numId w:val="2"/>
        </w:numPr>
        <w:spacing w:after="60"/>
      </w:pPr>
      <w:r>
        <w:rPr>
          <w:rFonts w:ascii="Inter" w:cs="Inter" w:eastAsia="Inter" w:hAnsi="Inter"/>
          <w:color w:val="0F172A"/>
          <w:sz w:val="20"/>
          <w:szCs w:val="20"/>
        </w:rPr>
        <w:t xml:space="preserve">Below 97.0% — 25% credit</w:t>
      </w:r>
    </w:p>
    <w:p>
      <w:pPr>
        <w:spacing w:after="120" w:line="300"/>
        <w:jc w:val="both"/>
      </w:pPr>
      <w:r>
        <w:rPr>
          <w:rFonts w:ascii="Inter" w:cs="Inter" w:eastAsia="Inter" w:hAnsi="Inter"/>
          <w:color w:val="0F172A"/>
          <w:sz w:val="20"/>
          <w:szCs w:val="20"/>
        </w:rPr>
        <w:t xml:space="preserve">Service credits shall be applied against future invoices. Customer must request service credits in writing within thirty (30) days of the end of the affected month.</w:t>
      </w:r>
    </w:p>
    <w:p>
      <w:r>
        <w:br w:type="page"/>
      </w:r>
    </w:p>
    <w:p>
      <w:pPr>
        <w:pStyle w:val="Heading1"/>
        <w:spacing w:after="120" w:before="320"/>
      </w:pPr>
      <w:r>
        <w:rPr>
          <w:rFonts w:ascii="Inter" w:cs="Inter" w:eastAsia="Inter" w:hAnsi="Inter"/>
          <w:b/>
          <w:bCs/>
          <w:color w:val="1E2761"/>
          <w:sz w:val="28"/>
          <w:szCs w:val="28"/>
        </w:rPr>
        <w:t xml:space="preserve">Exhibit C — Support Terms (Summary)</w:t>
      </w:r>
    </w:p>
    <w:p>
      <w:pPr>
        <w:spacing w:after="120"/>
      </w:pPr>
      <w:r>
        <w:t xml:space="preserve"/>
      </w:r>
    </w:p>
    <w:p>
      <w:pPr>
        <w:spacing w:after="120" w:line="300"/>
        <w:jc w:val="both"/>
      </w:pPr>
      <w:r>
        <w:rPr>
          <w:rFonts w:ascii="Inter" w:cs="Inter" w:eastAsia="Inter" w:hAnsi="Inter"/>
          <w:color w:val="0F172A"/>
          <w:sz w:val="20"/>
          <w:szCs w:val="20"/>
        </w:rPr>
        <w:t xml:space="preserve">Arcus provides the following support services during the Subscription Term:</w:t>
      </w:r>
    </w:p>
    <w:p>
      <w:pPr>
        <w:pStyle w:val="Heading2"/>
        <w:spacing w:after="100" w:before="240"/>
      </w:pPr>
      <w:r>
        <w:rPr>
          <w:rFonts w:ascii="Inter" w:cs="Inter" w:eastAsia="Inter" w:hAnsi="Inter"/>
          <w:b/>
          <w:bCs/>
          <w:color w:val="1E2761"/>
          <w:sz w:val="22"/>
          <w:szCs w:val="22"/>
        </w:rPr>
        <w:t xml:space="preserve">Severity Levels</w:t>
      </w:r>
    </w:p>
    <w:p>
      <w:pPr>
        <w:pStyle w:val="ListParagraph"/>
        <w:numPr>
          <w:ilvl w:val="0"/>
          <w:numId w:val="2"/>
        </w:numPr>
        <w:spacing w:after="60"/>
      </w:pPr>
      <w:r>
        <w:rPr>
          <w:rFonts w:ascii="Inter" w:cs="Inter" w:eastAsia="Inter" w:hAnsi="Inter"/>
          <w:color w:val="0F172A"/>
          <w:sz w:val="20"/>
          <w:szCs w:val="20"/>
        </w:rPr>
        <w:t xml:space="preserve">Severity 1 (Critical): Services are unavailable or substantially impaired; no workaround exists. Response target: 15 minutes (Enterprise+) / 1 hour (Enterprise). Resolution target: 4 hours.</w:t>
      </w:r>
    </w:p>
    <w:p>
      <w:pPr>
        <w:pStyle w:val="ListParagraph"/>
        <w:numPr>
          <w:ilvl w:val="0"/>
          <w:numId w:val="2"/>
        </w:numPr>
        <w:spacing w:after="60"/>
      </w:pPr>
      <w:r>
        <w:rPr>
          <w:rFonts w:ascii="Inter" w:cs="Inter" w:eastAsia="Inter" w:hAnsi="Inter"/>
          <w:color w:val="0F172A"/>
          <w:sz w:val="20"/>
          <w:szCs w:val="20"/>
        </w:rPr>
        <w:t xml:space="preserve">Severity 2 (High): Significant feature is non-functional but a workaround exists. Response target: 1 hour (Enterprise+) / 4 hours (Enterprise). Resolution target: 1 business day.</w:t>
      </w:r>
    </w:p>
    <w:p>
      <w:pPr>
        <w:pStyle w:val="ListParagraph"/>
        <w:numPr>
          <w:ilvl w:val="0"/>
          <w:numId w:val="2"/>
        </w:numPr>
        <w:spacing w:after="60"/>
      </w:pPr>
      <w:r>
        <w:rPr>
          <w:rFonts w:ascii="Inter" w:cs="Inter" w:eastAsia="Inter" w:hAnsi="Inter"/>
          <w:color w:val="0F172A"/>
          <w:sz w:val="20"/>
          <w:szCs w:val="20"/>
        </w:rPr>
        <w:t xml:space="preserve">Severity 3 (Medium): Minor feature degradation. Response target: 1 business day. Resolution target: next release.</w:t>
      </w:r>
    </w:p>
    <w:p>
      <w:pPr>
        <w:pStyle w:val="ListParagraph"/>
        <w:numPr>
          <w:ilvl w:val="0"/>
          <w:numId w:val="2"/>
        </w:numPr>
        <w:spacing w:after="60"/>
      </w:pPr>
      <w:r>
        <w:rPr>
          <w:rFonts w:ascii="Inter" w:cs="Inter" w:eastAsia="Inter" w:hAnsi="Inter"/>
          <w:color w:val="0F172A"/>
          <w:sz w:val="20"/>
          <w:szCs w:val="20"/>
        </w:rPr>
        <w:t xml:space="preserve">Severity 4 (Low): Cosmetic or documentation issues. Response target: 2 business days. Resolution target: best effort.</w:t>
      </w:r>
    </w:p>
    <w:p>
      <w:r>
        <w:br w:type="page"/>
      </w:r>
    </w:p>
    <w:p>
      <w:pPr>
        <w:pStyle w:val="Heading1"/>
        <w:spacing w:after="120" w:before="320"/>
      </w:pPr>
      <w:r>
        <w:rPr>
          <w:rFonts w:ascii="Inter" w:cs="Inter" w:eastAsia="Inter" w:hAnsi="Inter"/>
          <w:b/>
          <w:bCs/>
          <w:color w:val="1E2761"/>
          <w:sz w:val="28"/>
          <w:szCs w:val="28"/>
        </w:rPr>
        <w:t xml:space="preserve">Exhibit D — Security Addendum (Summary)</w:t>
      </w:r>
    </w:p>
    <w:p>
      <w:pPr>
        <w:spacing w:after="120"/>
      </w:pPr>
      <w:r>
        <w:t xml:space="preserve"/>
      </w:r>
    </w:p>
    <w:p>
      <w:pPr>
        <w:spacing w:after="120" w:line="300"/>
        <w:jc w:val="both"/>
      </w:pPr>
      <w:r>
        <w:rPr>
          <w:rFonts w:ascii="Inter" w:cs="Inter" w:eastAsia="Inter" w:hAnsi="Inter"/>
          <w:color w:val="0F172A"/>
          <w:sz w:val="20"/>
          <w:szCs w:val="20"/>
        </w:rPr>
        <w:t xml:space="preserve">Arcus maintains and operates an information security program designed to protect Customer Data and the availability, confidentiality, and integrity of the Services. Key elements of the program include:</w:t>
      </w:r>
    </w:p>
    <w:p>
      <w:pPr>
        <w:pStyle w:val="ListParagraph"/>
        <w:numPr>
          <w:ilvl w:val="0"/>
          <w:numId w:val="2"/>
        </w:numPr>
        <w:spacing w:after="60"/>
      </w:pPr>
      <w:r>
        <w:rPr>
          <w:rFonts w:ascii="Inter" w:cs="Inter" w:eastAsia="Inter" w:hAnsi="Inter"/>
          <w:color w:val="0F172A"/>
          <w:sz w:val="20"/>
          <w:szCs w:val="20"/>
        </w:rPr>
        <w:t xml:space="preserve">SOC 2 Type II certification, with annual audits by an independent third-party CPA firm.</w:t>
      </w:r>
    </w:p>
    <w:p>
      <w:pPr>
        <w:pStyle w:val="ListParagraph"/>
        <w:numPr>
          <w:ilvl w:val="0"/>
          <w:numId w:val="2"/>
        </w:numPr>
        <w:spacing w:after="60"/>
      </w:pPr>
      <w:r>
        <w:rPr>
          <w:rFonts w:ascii="Inter" w:cs="Inter" w:eastAsia="Inter" w:hAnsi="Inter"/>
          <w:color w:val="0F172A"/>
          <w:sz w:val="20"/>
          <w:szCs w:val="20"/>
        </w:rPr>
        <w:t xml:space="preserve">ISO 27001 certification, awarded September 2025.</w:t>
      </w:r>
    </w:p>
    <w:p>
      <w:pPr>
        <w:pStyle w:val="ListParagraph"/>
        <w:numPr>
          <w:ilvl w:val="0"/>
          <w:numId w:val="2"/>
        </w:numPr>
        <w:spacing w:after="60"/>
      </w:pPr>
      <w:r>
        <w:rPr>
          <w:rFonts w:ascii="Inter" w:cs="Inter" w:eastAsia="Inter" w:hAnsi="Inter"/>
          <w:color w:val="0F172A"/>
          <w:sz w:val="20"/>
          <w:szCs w:val="20"/>
        </w:rPr>
        <w:t xml:space="preserve">Encryption of Customer Data in transit (TLS 1.2+) and at rest (AES-256).</w:t>
      </w:r>
    </w:p>
    <w:p>
      <w:pPr>
        <w:pStyle w:val="ListParagraph"/>
        <w:numPr>
          <w:ilvl w:val="0"/>
          <w:numId w:val="2"/>
        </w:numPr>
        <w:spacing w:after="60"/>
      </w:pPr>
      <w:r>
        <w:rPr>
          <w:rFonts w:ascii="Inter" w:cs="Inter" w:eastAsia="Inter" w:hAnsi="Inter"/>
          <w:color w:val="0F172A"/>
          <w:sz w:val="20"/>
          <w:szCs w:val="20"/>
        </w:rPr>
        <w:t xml:space="preserve">Role-based access controls with multi-factor authentication for all Arcus personnel with access to production systems.</w:t>
      </w:r>
    </w:p>
    <w:p>
      <w:pPr>
        <w:pStyle w:val="ListParagraph"/>
        <w:numPr>
          <w:ilvl w:val="0"/>
          <w:numId w:val="2"/>
        </w:numPr>
        <w:spacing w:after="60"/>
      </w:pPr>
      <w:r>
        <w:rPr>
          <w:rFonts w:ascii="Inter" w:cs="Inter" w:eastAsia="Inter" w:hAnsi="Inter"/>
          <w:color w:val="0F172A"/>
          <w:sz w:val="20"/>
          <w:szCs w:val="20"/>
        </w:rPr>
        <w:t xml:space="preserve">Least-privilege access model: Arcus personnel access Customer Data only as necessary to provide the Services.</w:t>
      </w:r>
    </w:p>
    <w:p>
      <w:pPr>
        <w:pStyle w:val="ListParagraph"/>
        <w:numPr>
          <w:ilvl w:val="0"/>
          <w:numId w:val="2"/>
        </w:numPr>
        <w:spacing w:after="60"/>
      </w:pPr>
      <w:r>
        <w:rPr>
          <w:rFonts w:ascii="Inter" w:cs="Inter" w:eastAsia="Inter" w:hAnsi="Inter"/>
          <w:color w:val="0F172A"/>
          <w:sz w:val="20"/>
          <w:szCs w:val="20"/>
        </w:rPr>
        <w:t xml:space="preserve">Annual penetration testing by a qualified third-party firm and remediation of any findings.</w:t>
      </w:r>
    </w:p>
    <w:p>
      <w:pPr>
        <w:pStyle w:val="ListParagraph"/>
        <w:numPr>
          <w:ilvl w:val="0"/>
          <w:numId w:val="2"/>
        </w:numPr>
        <w:spacing w:after="60"/>
      </w:pPr>
      <w:r>
        <w:rPr>
          <w:rFonts w:ascii="Inter" w:cs="Inter" w:eastAsia="Inter" w:hAnsi="Inter"/>
          <w:color w:val="0F172A"/>
          <w:sz w:val="20"/>
          <w:szCs w:val="20"/>
        </w:rPr>
        <w:t xml:space="preserve">Documented incident response program with 24x7 on-call engineering coverage.</w:t>
      </w:r>
    </w:p>
    <w:p>
      <w:pPr>
        <w:pStyle w:val="ListParagraph"/>
        <w:numPr>
          <w:ilvl w:val="0"/>
          <w:numId w:val="2"/>
        </w:numPr>
        <w:spacing w:after="60"/>
      </w:pPr>
      <w:r>
        <w:rPr>
          <w:rFonts w:ascii="Inter" w:cs="Inter" w:eastAsia="Inter" w:hAnsi="Inter"/>
          <w:color w:val="0F172A"/>
          <w:sz w:val="20"/>
          <w:szCs w:val="20"/>
        </w:rPr>
        <w:t xml:space="preserve">Background checks for all personnel with access to Customer Data, to the extent permitted by law.</w:t>
      </w:r>
    </w:p>
    <w:p>
      <w:pPr>
        <w:pStyle w:val="ListParagraph"/>
        <w:numPr>
          <w:ilvl w:val="0"/>
          <w:numId w:val="2"/>
        </w:numPr>
        <w:spacing w:after="60"/>
      </w:pPr>
      <w:r>
        <w:rPr>
          <w:rFonts w:ascii="Inter" w:cs="Inter" w:eastAsia="Inter" w:hAnsi="Inter"/>
          <w:color w:val="0F172A"/>
          <w:sz w:val="20"/>
          <w:szCs w:val="20"/>
        </w:rPr>
        <w:t xml:space="preserve">Annual security awareness training for all personnel.</w:t>
      </w:r>
    </w:p>
    <w:p>
      <w:r>
        <w:br w:type="page"/>
      </w:r>
    </w:p>
    <w:p>
      <w:pPr>
        <w:pStyle w:val="Heading1"/>
        <w:spacing w:after="120" w:before="320"/>
      </w:pPr>
      <w:r>
        <w:rPr>
          <w:rFonts w:ascii="Inter" w:cs="Inter" w:eastAsia="Inter" w:hAnsi="Inter"/>
          <w:b/>
          <w:bCs/>
          <w:color w:val="1E2761"/>
          <w:sz w:val="28"/>
          <w:szCs w:val="28"/>
        </w:rPr>
        <w:t xml:space="preserve">Exhibit E — Data Processing Addendum (Summary)</w:t>
      </w:r>
    </w:p>
    <w:p>
      <w:pPr>
        <w:spacing w:after="120"/>
      </w:pPr>
      <w:r>
        <w:t xml:space="preserve"/>
      </w:r>
    </w:p>
    <w:p>
      <w:pPr>
        <w:spacing w:after="120" w:line="300"/>
        <w:jc w:val="both"/>
      </w:pPr>
      <w:r>
        <w:rPr>
          <w:rFonts w:ascii="Inter" w:cs="Inter" w:eastAsia="Inter" w:hAnsi="Inter"/>
          <w:color w:val="0F172A"/>
          <w:sz w:val="20"/>
          <w:szCs w:val="20"/>
        </w:rPr>
        <w:t xml:space="preserve">This Data Processing Addendum governs Arcus's processing of personal data on behalf of Customer in connection with the Services. Capitalized terms not defined herein have the meanings set forth in the EU General Data Protection Regulation (GDPR) or the California Consumer Privacy Act (CCPA), as applicable.</w:t>
      </w:r>
    </w:p>
    <w:p>
      <w:pPr>
        <w:pStyle w:val="Heading2"/>
        <w:spacing w:after="100" w:before="240"/>
      </w:pPr>
      <w:r>
        <w:rPr>
          <w:rFonts w:ascii="Inter" w:cs="Inter" w:eastAsia="Inter" w:hAnsi="Inter"/>
          <w:b/>
          <w:bCs/>
          <w:color w:val="1E2761"/>
          <w:sz w:val="22"/>
          <w:szCs w:val="22"/>
        </w:rPr>
        <w:t xml:space="preserve">Roles</w:t>
      </w:r>
    </w:p>
    <w:p>
      <w:pPr>
        <w:spacing w:after="120" w:line="300"/>
        <w:jc w:val="both"/>
      </w:pPr>
      <w:r>
        <w:rPr>
          <w:rFonts w:ascii="Inter" w:cs="Inter" w:eastAsia="Inter" w:hAnsi="Inter"/>
          <w:color w:val="0F172A"/>
          <w:sz w:val="20"/>
          <w:szCs w:val="20"/>
        </w:rPr>
        <w:t xml:space="preserve">For purposes of this DPA, Customer is the Controller and Arcus is the Processor with respect to Customer Data.</w:t>
      </w:r>
    </w:p>
    <w:p>
      <w:pPr>
        <w:pStyle w:val="Heading2"/>
        <w:spacing w:after="100" w:before="240"/>
      </w:pPr>
      <w:r>
        <w:rPr>
          <w:rFonts w:ascii="Inter" w:cs="Inter" w:eastAsia="Inter" w:hAnsi="Inter"/>
          <w:b/>
          <w:bCs/>
          <w:color w:val="1E2761"/>
          <w:sz w:val="22"/>
          <w:szCs w:val="22"/>
        </w:rPr>
        <w:t xml:space="preserve">Sub-processors</w:t>
      </w:r>
    </w:p>
    <w:p>
      <w:pPr>
        <w:spacing w:after="120" w:line="300"/>
        <w:jc w:val="both"/>
      </w:pPr>
      <w:r>
        <w:rPr>
          <w:rFonts w:ascii="Inter" w:cs="Inter" w:eastAsia="Inter" w:hAnsi="Inter"/>
          <w:color w:val="0F172A"/>
          <w:sz w:val="20"/>
          <w:szCs w:val="20"/>
        </w:rPr>
        <w:t xml:space="preserve">Customer consents to Arcus's engagement of sub-processors for the purpose of providing the Services, including cloud infrastructure providers (Amazon Web Services), managed services providers (Snowflake, Pinecone), and LLM providers (Amazon Bedrock). Arcus maintains a current list of sub-processors at https://arcus.io/trust/subprocessors and will provide at least thirty (30) days' notice of any new sub-processor.</w:t>
      </w:r>
    </w:p>
    <w:p>
      <w:pPr>
        <w:pStyle w:val="Heading2"/>
        <w:spacing w:after="100" w:before="240"/>
      </w:pPr>
      <w:r>
        <w:rPr>
          <w:rFonts w:ascii="Inter" w:cs="Inter" w:eastAsia="Inter" w:hAnsi="Inter"/>
          <w:b/>
          <w:bCs/>
          <w:color w:val="1E2761"/>
          <w:sz w:val="22"/>
          <w:szCs w:val="22"/>
        </w:rPr>
        <w:t xml:space="preserve">International Transfers</w:t>
      </w:r>
    </w:p>
    <w:p>
      <w:pPr>
        <w:spacing w:after="120" w:line="300"/>
        <w:jc w:val="both"/>
      </w:pPr>
      <w:r>
        <w:rPr>
          <w:rFonts w:ascii="Inter" w:cs="Inter" w:eastAsia="Inter" w:hAnsi="Inter"/>
          <w:color w:val="0F172A"/>
          <w:sz w:val="20"/>
          <w:szCs w:val="20"/>
        </w:rPr>
        <w:t xml:space="preserve">For personal data of EU data subjects, Arcus incorporates the Standard Contractual Clauses (2021/914/EU) by reference and has implemented supplementary measures as described in Arcus's Trust Center.</w:t>
      </w:r>
    </w:p>
    <w:p>
      <w:pPr>
        <w:pStyle w:val="Heading2"/>
        <w:spacing w:after="100" w:before="240"/>
      </w:pPr>
      <w:r>
        <w:rPr>
          <w:rFonts w:ascii="Inter" w:cs="Inter" w:eastAsia="Inter" w:hAnsi="Inter"/>
          <w:b/>
          <w:bCs/>
          <w:color w:val="1E2761"/>
          <w:sz w:val="22"/>
          <w:szCs w:val="22"/>
        </w:rPr>
        <w:t xml:space="preserve">Data Subject Rights</w:t>
      </w:r>
    </w:p>
    <w:p>
      <w:pPr>
        <w:spacing w:after="120" w:line="300"/>
        <w:jc w:val="both"/>
      </w:pPr>
      <w:r>
        <w:rPr>
          <w:rFonts w:ascii="Inter" w:cs="Inter" w:eastAsia="Inter" w:hAnsi="Inter"/>
          <w:color w:val="0F172A"/>
          <w:sz w:val="20"/>
          <w:szCs w:val="20"/>
        </w:rPr>
        <w:t xml:space="preserve">Arcus shall provide reasonable assistance to Customer to fulfill Customer's obligation to respond to requests from data subjects seeking to exercise their rights under applicable data protection laws, including rights of access, rectification, erasure, restriction, portability, and objection.</w:t>
      </w:r>
    </w:p>
    <w:p>
      <w:pPr>
        <w:spacing w:after="120"/>
      </w:pPr>
      <w:r>
        <w:t xml:space="preserve"/>
      </w:r>
    </w:p>
    <w:p>
      <w:pPr>
        <w:spacing w:after="100"/>
        <w:jc w:val="center"/>
      </w:pPr>
      <w:r>
        <w:rPr>
          <w:rFonts w:ascii="Inter" w:cs="Inter" w:eastAsia="Inter" w:hAnsi="Inter"/>
          <w:i/>
          <w:iCs/>
          <w:color w:val="6B7280"/>
          <w:sz w:val="17"/>
          <w:szCs w:val="17"/>
        </w:rPr>
        <w:t xml:space="preserve">End of document. Total agreement length including all exhibits: approximately 12 pages as executed.</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pPr>
    <w:r>
      <w:rPr>
        <w:rFonts w:ascii="Inter" w:cs="Inter" w:eastAsia="Inter" w:hAnsi="Inter"/>
        <w:color w:val="6B7280"/>
        <w:sz w:val="16"/>
        <w:szCs w:val="16"/>
      </w:rPr>
      <w:t xml:space="preserve">Arcus MSA — Enterprise Form v3.2</w:t>
    </w:r>
    <w:r>
      <w:rPr>
        <w:rFonts w:ascii="Inter" w:cs="Inter" w:eastAsia="Inter" w:hAnsi="Inter"/>
        <w:color w:val="6B7280"/>
        <w:sz w:val="16"/>
        <w:szCs w:val="16"/>
      </w:rPr>
      <w:t xml:space="preserve">	Page </w:t>
    </w:r>
    <w:r>
      <w:rPr>
        <w:rFonts w:ascii="Inter" w:cs="Inter" w:eastAsia="Inter" w:hAnsi="Inter"/>
        <w:color w:val="6B7280"/>
        <w:sz w:val="16"/>
        <w:szCs w:val="16"/>
      </w:rPr>
      <w:fldChar w:fldCharType="begin"/>
      <w:instrText xml:space="preserve">PAGE</w:instrText>
      <w:fldChar w:fldCharType="separate"/>
      <w:fldChar w:fldCharType="end"/>
    </w:r>
    <w:r>
      <w:rPr>
        <w:rFonts w:ascii="Inter" w:cs="Inter" w:eastAsia="Inter" w:hAnsi="Inter"/>
        <w:color w:val="6B7280"/>
        <w:sz w:val="16"/>
        <w:szCs w:val="16"/>
      </w:rPr>
      <w:t xml:space="preserve"> of </w:t>
    </w:r>
    <w:r>
      <w:rPr>
        <w:rFonts w:ascii="Inter" w:cs="Inter" w:eastAsia="Inter" w:hAnsi="Inter"/>
        <w:color w:val="6B7280"/>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rPr>
        <w:rFonts w:ascii="Inter" w:cs="Inter" w:eastAsia="Inter" w:hAnsi="Inter"/>
        <w:b/>
        <w:bCs/>
        <w:color w:val="6B7280"/>
        <w:sz w:val="16"/>
        <w:szCs w:val="16"/>
      </w:rPr>
      <w:t xml:space="preserve">ARCUS, INC.</w:t>
    </w:r>
    <w:r>
      <w:rPr>
        <w:rFonts w:ascii="Inter" w:cs="Inter" w:eastAsia="Inter" w:hAnsi="Inter"/>
        <w:color w:val="6B7280"/>
        <w:sz w:val="16"/>
        <w:szCs w:val="16"/>
      </w:rPr>
      <w:t xml:space="preserve">	Master Subscription Agreement · Sample (Meridian Form)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20"/>
      <w:outlineLvl w:val="0"/>
    </w:pPr>
    <w:rPr>
      <w:rFonts w:ascii="Inter" w:cs="Inter" w:eastAsia="Inter" w:hAnsi="Inter"/>
      <w:b/>
      <w:bCs/>
      <w:color w:val="1E2761"/>
      <w:sz w:val="30"/>
      <w:szCs w:val="30"/>
    </w:rPr>
  </w:style>
  <w:style w:type="paragraph" w:styleId="Heading2">
    <w:name w:val="Heading 2"/>
    <w:basedOn w:val="Normal"/>
    <w:next w:val="Normal"/>
    <w:qFormat/>
    <w:pPr>
      <w:spacing w:after="100" w:before="240"/>
      <w:outlineLvl w:val="1"/>
    </w:pPr>
    <w:rPr>
      <w:rFonts w:ascii="Inter" w:cs="Inter" w:eastAsia="Inter" w:hAnsi="Inter"/>
      <w:b/>
      <w:bCs/>
      <w:color w:val="1E2761"/>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Arcus — Sample MSA (Meridian Form)</dc:title>
  <dc:creator>Arcus Legal</dc:creator>
  <cp:lastModifiedBy>Un-named</cp:lastModifiedBy>
  <cp:revision>1</cp:revision>
  <dcterms:created xsi:type="dcterms:W3CDTF">2026-04-08T20:57:52.227Z</dcterms:created>
  <dcterms:modified xsi:type="dcterms:W3CDTF">2026-04-08T20:57:52.227Z</dcterms:modified>
</cp:coreProperties>
</file>

<file path=docProps/custom.xml><?xml version="1.0" encoding="utf-8"?>
<Properties xmlns="http://schemas.openxmlformats.org/officeDocument/2006/custom-properties" xmlns:vt="http://schemas.openxmlformats.org/officeDocument/2006/docPropsVTypes"/>
</file>